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sz w:val="20"/>
        </w:rPr>
      </w:pPr>
      <w:bookmarkStart w:id="0" w:name="belfa20260701_8k.htm"/>
      <w:bookmarkStart w:id="1" w:name="ksbelfa20260701_8k"/>
      <w:bookmarkEnd w:id="0"/>
      <w:bookmarkEnd w:id="1"/>
      <w:r>
        <w:rPr>
          <w:rFonts w:ascii="Times New Roman;Times;serif" w:hAnsi="Times New Roman;Times;serif"/>
          <w:sz w:val="20"/>
        </w:rPr>
        <w:t>BEL FUSE INC /NJ</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1,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BEL FUSE INC /NJ</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tbl>
      <w:tblPr>
        <w:tblW w:w="8805" w:type="dxa"/>
        <w:jc w:val="left"/>
        <w:tblInd w:w="0" w:type="dxa"/>
        <w:tblLayout w:type="fixed"/>
        <w:tblCellMar>
          <w:top w:w="0" w:type="dxa"/>
          <w:left w:w="0" w:type="dxa"/>
          <w:bottom w:w="28" w:type="dxa"/>
          <w:right w:w="0" w:type="dxa"/>
        </w:tblCellMar>
      </w:tblPr>
      <w:tblGrid>
        <w:gridCol w:w="3575"/>
        <w:gridCol w:w="60"/>
        <w:gridCol w:w="2210"/>
        <w:gridCol w:w="60"/>
        <w:gridCol w:w="2900"/>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000-11676</w:t>
            </w:r>
          </w:p>
        </w:tc>
        <w:tc>
          <w:tcPr>
            <w:tcW w:w="60" w:type="dxa"/>
            <w:tcBorders/>
            <w:tcMar>
              <w:bottom w:w="0" w:type="dxa"/>
            </w:tcMar>
            <w:vAlign w:val="center"/>
          </w:tcPr>
          <w:p>
            <w:pPr>
              <w:pStyle w:val="TableContents"/>
              <w:bidi w:val="0"/>
              <w:spacing w:before="0" w:after="0"/>
              <w:ind w:left="0" w:right="0" w:hanging="0"/>
              <w:jc w:val="both"/>
              <w:rPr/>
            </w:pPr>
            <w:r>
              <w:rPr/>
              <w:t> </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22-1463699</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0"/>
              <w:ind w:left="0" w:right="0" w:hanging="0"/>
              <w:jc w:val="both"/>
              <w:rPr/>
            </w:pPr>
            <w:r>
              <w:rPr/>
              <w:t> </w:t>
            </w:r>
          </w:p>
        </w:tc>
        <w:tc>
          <w:tcPr>
            <w:tcW w:w="29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28" w:type="dxa"/>
          <w:right w:w="0" w:type="dxa"/>
        </w:tblCellMar>
      </w:tblPr>
      <w:tblGrid>
        <w:gridCol w:w="4685"/>
        <w:gridCol w:w="60"/>
        <w:gridCol w:w="905"/>
      </w:tblGrid>
      <w:tr>
        <w:trPr/>
        <w:tc>
          <w:tcPr>
            <w:tcW w:w="46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Executive Drive, Suite 300, West Orange, New Jersey</w:t>
            </w:r>
          </w:p>
        </w:tc>
        <w:tc>
          <w:tcPr>
            <w:tcW w:w="60" w:type="dxa"/>
            <w:tcBorders/>
            <w:tcMar>
              <w:bottom w:w="0" w:type="dxa"/>
            </w:tcMar>
            <w:vAlign w:val="center"/>
          </w:tcPr>
          <w:p>
            <w:pPr>
              <w:pStyle w:val="TableContents"/>
              <w:bidi w:val="0"/>
              <w:spacing w:before="0" w:after="0"/>
              <w:ind w:left="0" w:right="0" w:hanging="0"/>
              <w:jc w:val="both"/>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07052</w:t>
            </w:r>
          </w:p>
        </w:tc>
      </w:tr>
      <w:tr>
        <w:trPr/>
        <w:tc>
          <w:tcPr>
            <w:tcW w:w="468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both"/>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(201) 432-0463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b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left"/>
        <w:rPr/>
      </w:pPr>
      <w:r>
        <w:rPr/>
        <w:t> </w:t>
      </w:r>
    </w:p>
    <w:tbl>
      <w:tblPr>
        <w:tblW w:w="8130" w:type="dxa"/>
        <w:jc w:val="left"/>
        <w:tblInd w:w="0" w:type="dxa"/>
        <w:tblLayout w:type="fixed"/>
        <w:tblCellMar>
          <w:top w:w="0" w:type="dxa"/>
          <w:left w:w="0" w:type="dxa"/>
          <w:bottom w:w="28" w:type="dxa"/>
          <w:right w:w="0" w:type="dxa"/>
        </w:tblCellMar>
      </w:tblPr>
      <w:tblGrid>
        <w:gridCol w:w="3380"/>
        <w:gridCol w:w="60"/>
        <w:gridCol w:w="1325"/>
        <w:gridCol w:w="60"/>
        <w:gridCol w:w="330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BELFA</w:t>
            </w:r>
          </w:p>
        </w:tc>
        <w:tc>
          <w:tcPr>
            <w:tcW w:w="60" w:type="dxa"/>
            <w:tcBorders/>
            <w:tcMar>
              <w:bottom w:w="0" w:type="dxa"/>
            </w:tcMar>
            <w:vAlign w:val="center"/>
          </w:tcPr>
          <w:p>
            <w:pPr>
              <w:pStyle w:val="TableContents"/>
              <w:bidi w:val="0"/>
              <w:spacing w:before="0" w:after="283"/>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BELFB</w:t>
            </w:r>
          </w:p>
        </w:tc>
        <w:tc>
          <w:tcPr>
            <w:tcW w:w="60" w:type="dxa"/>
            <w:tcBorders/>
            <w:tcMar>
              <w:bottom w:w="0" w:type="dxa"/>
            </w:tcMar>
            <w:vAlign w:val="center"/>
          </w:tcPr>
          <w:p>
            <w:pPr>
              <w:pStyle w:val="TableContents"/>
              <w:bidi w:val="0"/>
              <w:spacing w:before="0" w:after="283"/>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144" w:right="144"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144" w:right="144" w:hanging="0"/>
        <w:jc w:val="both"/>
        <w:rPr/>
      </w:pPr>
      <w:r>
        <w:rPr/>
        <w:t> </w:t>
      </w:r>
    </w:p>
    <w:p>
      <w:pPr>
        <w:pStyle w:val="TextBody"/>
        <w:bidi w:val="0"/>
        <w:spacing w:before="0" w:after="0"/>
        <w:ind w:left="0" w:right="144" w:hanging="0"/>
        <w:jc w:val="both"/>
        <w:rPr>
          <w:rFonts w:ascii="Times New Roman" w:hAnsi="Times New Roman"/>
          <w:caps w:val="false"/>
          <w:smallCaps w:val="false"/>
          <w:sz w:val="20"/>
        </w:rPr>
      </w:pPr>
      <w:r>
        <w:rPr>
          <w:rFonts w:ascii="Times New Roman" w:hAnsi="Times New Roman"/>
          <w:caps w:val="false"/>
          <w:smallCaps w:val="false"/>
          <w:sz w:val="20"/>
        </w:rPr>
        <w:t>On July 1, 2026, the compensation committee (the “Committee”) of the Board of Directors of Bel Fuse, Inc. (the “Company”) authorized and approved the First Amendment (the “Tuweiq First Amendment”) to the Amended and Restated Employment Agreement by and between the Company and Farouq Tuweiq, the Company’s President and Chief Executive Officer (the “Tuweiq Employment Agreement”) and the First Amendment (the “Hutkin First Amendment”) to the Employment Agreement by and between the Company and Lynn Hutkin, the Company’s Chief Financial Officer and Principal Accounting Officer (the “Hutkin Employment Agreement”). These amendments to each respective employment agreement were executed on July 2, 2026 and were effective as of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144" w:hanging="0"/>
        <w:jc w:val="both"/>
        <w:rPr>
          <w:rFonts w:ascii="Times New Roman" w:hAnsi="Times New Roman"/>
          <w:caps w:val="false"/>
          <w:smallCaps w:val="false"/>
          <w:sz w:val="20"/>
        </w:rPr>
      </w:pPr>
      <w:r>
        <w:rPr>
          <w:rFonts w:ascii="Times New Roman" w:hAnsi="Times New Roman"/>
          <w:caps w:val="false"/>
          <w:smallCaps w:val="false"/>
          <w:sz w:val="20"/>
        </w:rPr>
        <w:t>The changes to the Tuweiq Employment Agreement resulting from the Tuweiq First Amendment are to:</w:t>
      </w:r>
    </w:p>
    <w:p>
      <w:pPr>
        <w:pStyle w:val="TextBody"/>
        <w:bidi w:val="0"/>
        <w:spacing w:before="0" w:after="0"/>
        <w:ind w:left="0" w:right="0" w:hanging="0"/>
        <w:jc w:val="left"/>
        <w:rPr>
          <w:caps w:val="false"/>
          <w:smallCaps w:val="false"/>
        </w:rPr>
      </w:pPr>
      <w:r>
        <w:rPr>
          <w:caps w:val="false"/>
          <w:smallCaps w:val="false"/>
        </w:rPr>
        <w:t> </w:t>
      </w:r>
    </w:p>
    <w:tbl>
      <w:tblPr>
        <w:tblW w:w="4789" w:type="dxa"/>
        <w:jc w:val="left"/>
        <w:tblInd w:w="0" w:type="dxa"/>
        <w:tblLayout w:type="fixed"/>
        <w:tblCellMar>
          <w:top w:w="0" w:type="dxa"/>
          <w:left w:w="0" w:type="dxa"/>
          <w:bottom w:w="0" w:type="dxa"/>
          <w:right w:w="0" w:type="dxa"/>
        </w:tblCellMar>
      </w:tblPr>
      <w:tblGrid>
        <w:gridCol w:w="60"/>
        <w:gridCol w:w="170"/>
        <w:gridCol w:w="4559"/>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9" w:type="dxa"/>
            <w:tcBorders/>
            <w:vAlign w:val="center"/>
          </w:tcPr>
          <w:p>
            <w:pPr>
              <w:pStyle w:val="TableContents"/>
              <w:bidi w:val="0"/>
              <w:spacing w:before="0" w:after="0"/>
              <w:ind w:left="0" w:right="144" w:firstLine="180"/>
              <w:jc w:val="both"/>
              <w:rPr>
                <w:rFonts w:ascii="Times New Roman" w:hAnsi="Times New Roman"/>
                <w:caps w:val="false"/>
                <w:smallCaps w:val="false"/>
                <w:sz w:val="20"/>
              </w:rPr>
            </w:pPr>
            <w:r>
              <w:rPr>
                <w:rFonts w:ascii="Times New Roman" w:hAnsi="Times New Roman"/>
                <w:caps w:val="false"/>
                <w:smallCaps w:val="false"/>
                <w:sz w:val="20"/>
              </w:rPr>
              <w:t>increase his base salary from $600,000 to $725,000;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144" w:firstLine="180"/>
              <w:jc w:val="both"/>
              <w:rPr>
                <w:rFonts w:ascii="Times New Roman" w:hAnsi="Times New Roman"/>
                <w:caps w:val="false"/>
                <w:smallCaps w:val="false"/>
                <w:sz w:val="20"/>
              </w:rPr>
            </w:pPr>
            <w:r>
              <w:rPr>
                <w:rFonts w:ascii="Times New Roman" w:hAnsi="Times New Roman"/>
                <w:caps w:val="false"/>
                <w:smallCaps w:val="false"/>
                <w:sz w:val="20"/>
              </w:rPr>
              <w:t>increase his target annual variable compensation from $1,600,000 to $2,100,000, and change the allocation of his variable compensation from 50% cash and 50% in the form of time-based restricted stock units (“RSUs”) to 40% cash and 60% RSUs;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144" w:firstLine="180"/>
              <w:jc w:val="both"/>
              <w:rPr>
                <w:rFonts w:ascii="Times New Roman" w:hAnsi="Times New Roman"/>
                <w:caps w:val="false"/>
                <w:smallCaps w:val="false"/>
                <w:sz w:val="20"/>
              </w:rPr>
            </w:pPr>
            <w:r>
              <w:rPr>
                <w:rFonts w:ascii="Times New Roman" w:hAnsi="Times New Roman"/>
                <w:caps w:val="false"/>
                <w:smallCaps w:val="false"/>
                <w:sz w:val="20"/>
              </w:rPr>
              <w:t>increase his annual Long-Term Performance Award (as defined in the Tuweiq Employment Agreement) from $1,200,000 to $1,875,000.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144" w:hanging="0"/>
        <w:jc w:val="both"/>
        <w:rPr>
          <w:rFonts w:ascii="Times New Roman" w:hAnsi="Times New Roman"/>
          <w:caps w:val="false"/>
          <w:smallCaps w:val="false"/>
          <w:sz w:val="20"/>
        </w:rPr>
      </w:pPr>
      <w:r>
        <w:rPr>
          <w:rFonts w:ascii="Times New Roman" w:hAnsi="Times New Roman"/>
          <w:caps w:val="false"/>
          <w:smallCaps w:val="false"/>
          <w:sz w:val="20"/>
        </w:rPr>
        <w:t>The changes to the Hutkin Employment Agreement resulting from the Hutkin First Amendment are to:</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60"/>
        <w:gridCol w:w="170"/>
        <w:gridCol w:w="4574"/>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74" w:type="dxa"/>
            <w:tcBorders/>
            <w:vAlign w:val="center"/>
          </w:tcPr>
          <w:p>
            <w:pPr>
              <w:pStyle w:val="TableContents"/>
              <w:bidi w:val="0"/>
              <w:spacing w:before="0" w:after="0"/>
              <w:ind w:left="0" w:right="144" w:firstLine="180"/>
              <w:jc w:val="both"/>
              <w:rPr>
                <w:rFonts w:ascii="Times New Roman" w:hAnsi="Times New Roman"/>
                <w:caps w:val="false"/>
                <w:smallCaps w:val="false"/>
                <w:sz w:val="20"/>
              </w:rPr>
            </w:pPr>
            <w:r>
              <w:rPr>
                <w:rFonts w:ascii="Times New Roman" w:hAnsi="Times New Roman"/>
                <w:caps w:val="false"/>
                <w:smallCaps w:val="false"/>
                <w:sz w:val="20"/>
              </w:rPr>
              <w:t>increase her base salary from $300,000 to $400,000;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increase her annual variable compensation percentage from 125% to 150% of base salary, and change the allocation of her variable compensation from 60% cash and 40% in the form of RSUs to 55% cash and 45% RSUs;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144" w:firstLine="180"/>
              <w:jc w:val="both"/>
              <w:rPr>
                <w:rFonts w:ascii="Times New Roman" w:hAnsi="Times New Roman"/>
                <w:caps w:val="false"/>
                <w:smallCaps w:val="false"/>
                <w:sz w:val="20"/>
              </w:rPr>
            </w:pPr>
            <w:r>
              <w:rPr>
                <w:rFonts w:ascii="Times New Roman" w:hAnsi="Times New Roman"/>
                <w:caps w:val="false"/>
                <w:smallCaps w:val="false"/>
                <w:sz w:val="20"/>
              </w:rPr>
              <w:t>increase the percentage of her annual Long-Term Performance Award (as defined in the Hutkin Employment Agreement) from 75% to 100% of base salary.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144" w:hanging="0"/>
        <w:jc w:val="both"/>
        <w:rPr>
          <w:rFonts w:ascii="Times New Roman" w:hAnsi="Times New Roman"/>
          <w:caps w:val="false"/>
          <w:smallCaps w:val="false"/>
          <w:sz w:val="20"/>
        </w:rPr>
      </w:pPr>
      <w:r>
        <w:rPr>
          <w:rFonts w:ascii="Times New Roman" w:hAnsi="Times New Roman"/>
          <w:caps w:val="false"/>
          <w:smallCaps w:val="false"/>
          <w:sz w:val="20"/>
        </w:rPr>
        <w:t>The foregoing descriptions of the Tuweiq First Amendment and the Hutkin First Amendment are summaries only and are qualified in their entirety by reference to the full text of the Tuweiq First Amendment and the Hutkin First Amendment, respectively, which are filed as Exhibits 10.1 and 10.2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28" w:type="dxa"/>
          <w:right w:w="0" w:type="dxa"/>
        </w:tblCellMar>
      </w:tblPr>
      <w:tblGrid>
        <w:gridCol w:w="835"/>
        <w:gridCol w:w="60"/>
        <w:gridCol w:w="9310"/>
      </w:tblGrid>
      <w:tr>
        <w:trPr/>
        <w:tc>
          <w:tcPr>
            <w:tcW w:w="8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83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10" w:type="dxa"/>
            <w:tcBorders/>
            <w:tcMar>
              <w:bottom w:w="0" w:type="dxa"/>
            </w:tcMar>
            <w:vAlign w:val="center"/>
          </w:tcPr>
          <w:p>
            <w:pPr>
              <w:pStyle w:val="TableContents"/>
              <w:bidi w:val="0"/>
              <w:spacing w:before="0" w:after="283"/>
              <w:jc w:val="left"/>
              <w:rPr/>
            </w:pPr>
            <w:hyperlink w:anchor="ex_983912.htm">
              <w:r>
                <w:rPr>
                  <w:rStyle w:val="InternetLink"/>
                  <w:rFonts w:ascii="Times New Roman;Times;serif" w:hAnsi="Times New Roman;Times;serif"/>
                  <w:sz w:val="20"/>
                </w:rPr>
                <w:t>First Amendment, dated as of July 2, 2026, to the Amended and Restated Employment Agreement by and between Bel Fuse Inc. and Farouq Tuweiq.</w:t>
              </w:r>
            </w:hyperlink>
          </w:p>
        </w:tc>
      </w:tr>
      <w:tr>
        <w:trPr/>
        <w:tc>
          <w:tcPr>
            <w:tcW w:w="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tcMar>
              <w:bottom w:w="0" w:type="dxa"/>
            </w:tcMar>
            <w:vAlign w:val="center"/>
          </w:tcPr>
          <w:p>
            <w:pPr>
              <w:pStyle w:val="TableContents"/>
              <w:bidi w:val="0"/>
              <w:spacing w:before="0" w:after="283"/>
              <w:jc w:val="left"/>
              <w:rPr/>
            </w:pPr>
            <w:r>
              <w:rPr/>
              <w:t> </w:t>
            </w:r>
          </w:p>
        </w:tc>
        <w:tc>
          <w:tcPr>
            <w:tcW w:w="9310" w:type="dxa"/>
            <w:tcBorders/>
            <w:tcMar>
              <w:bottom w:w="0" w:type="dxa"/>
            </w:tcMar>
            <w:vAlign w:val="center"/>
          </w:tcPr>
          <w:p>
            <w:pPr>
              <w:pStyle w:val="TableContents"/>
              <w:bidi w:val="0"/>
              <w:spacing w:before="0" w:after="283"/>
              <w:jc w:val="left"/>
              <w:rPr/>
            </w:pPr>
            <w:hyperlink w:anchor="ex_983913.htm">
              <w:r>
                <w:rPr>
                  <w:rStyle w:val="InternetLink"/>
                  <w:rFonts w:ascii="Times New Roman;Times;serif" w:hAnsi="Times New Roman;Times;serif"/>
                  <w:sz w:val="20"/>
                </w:rPr>
                <w:t>First Amendment, dated as of July 2, 2026, to the Employment Agreement by and between Bel Fuse Inc. and Lynn Hutkin.</w:t>
              </w:r>
            </w:hyperlink>
          </w:p>
        </w:tc>
      </w:tr>
      <w:tr>
        <w:trPr/>
        <w:tc>
          <w:tcPr>
            <w:tcW w:w="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125" w:type="dxa"/>
        <w:jc w:val="left"/>
        <w:tblInd w:w="0" w:type="dxa"/>
        <w:tblLayout w:type="fixed"/>
        <w:tblCellMar>
          <w:top w:w="0" w:type="dxa"/>
          <w:left w:w="0" w:type="dxa"/>
          <w:bottom w:w="0" w:type="dxa"/>
          <w:right w:w="0" w:type="dxa"/>
        </w:tblCellMar>
      </w:tblPr>
      <w:tblGrid>
        <w:gridCol w:w="1505"/>
        <w:gridCol w:w="3620"/>
      </w:tblGrid>
      <w:tr>
        <w:trPr/>
        <w:tc>
          <w:tcPr>
            <w:tcW w:w="15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July 2, 2026</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BEL FUSE INC.</w:t>
            </w:r>
          </w:p>
        </w:tc>
      </w:tr>
      <w:tr>
        <w:trPr/>
        <w:tc>
          <w:tcPr>
            <w:tcW w:w="1505" w:type="dxa"/>
            <w:tcBorders/>
            <w:vAlign w:val="center"/>
          </w:tcPr>
          <w:p>
            <w:pPr>
              <w:pStyle w:val="TableContents"/>
              <w:bidi w:val="0"/>
              <w:spacing w:before="0" w:after="0"/>
              <w:ind w:left="0" w:right="0" w:hanging="0"/>
              <w:jc w:val="center"/>
              <w:rPr/>
            </w:pPr>
            <w:r>
              <w:rPr/>
              <w:t> </w:t>
            </w:r>
          </w:p>
        </w:tc>
        <w:tc>
          <w:tcPr>
            <w:tcW w:w="362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(Registrant)</w:t>
            </w:r>
          </w:p>
        </w:tc>
      </w:tr>
      <w:tr>
        <w:trPr/>
        <w:tc>
          <w:tcPr>
            <w:tcW w:w="1505" w:type="dxa"/>
            <w:tcBorders/>
            <w:vAlign w:val="center"/>
          </w:tcPr>
          <w:p>
            <w:pPr>
              <w:pStyle w:val="TableContents"/>
              <w:bidi w:val="0"/>
              <w:spacing w:before="0" w:after="0"/>
              <w:ind w:left="0" w:right="0" w:hanging="0"/>
              <w:jc w:val="center"/>
              <w:rPr/>
            </w:pPr>
            <w:r>
              <w:rPr/>
              <w:t> </w:t>
            </w:r>
          </w:p>
        </w:tc>
        <w:tc>
          <w:tcPr>
            <w:tcW w:w="362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center"/>
              <w:rPr/>
            </w:pPr>
            <w:r>
              <w:rPr/>
              <w:t> </w:t>
            </w:r>
          </w:p>
        </w:tc>
        <w:tc>
          <w:tcPr>
            <w:tcW w:w="362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  </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/s/ Farouq Tuweiq</w:t>
            </w:r>
          </w:p>
        </w:tc>
      </w:tr>
      <w:tr>
        <w:trPr/>
        <w:tc>
          <w:tcPr>
            <w:tcW w:w="1505" w:type="dxa"/>
            <w:tcBorders/>
            <w:vAlign w:val="center"/>
          </w:tcPr>
          <w:p>
            <w:pPr>
              <w:pStyle w:val="TableContents"/>
              <w:bidi w:val="0"/>
              <w:spacing w:before="0" w:after="0"/>
              <w:ind w:left="0" w:right="0" w:hanging="0"/>
              <w:jc w:val="left"/>
              <w:rPr/>
            </w:pPr>
            <w:r>
              <w:rPr/>
              <w:t> </w:t>
            </w:r>
          </w:p>
        </w:tc>
        <w:tc>
          <w:tcPr>
            <w:tcW w:w="3620" w:type="dxa"/>
            <w:tcBorders/>
            <w:vAlign w:val="center"/>
          </w:tcPr>
          <w:p>
            <w:pPr>
              <w:pStyle w:val="TableContents"/>
              <w:bidi w:val="0"/>
              <w:spacing w:before="0" w:after="283"/>
              <w:jc w:val="left"/>
              <w:rPr/>
            </w:pPr>
            <w:r>
              <w:rPr/>
              <w:t>Farouq Tuweiq</w:t>
            </w:r>
          </w:p>
        </w:tc>
      </w:tr>
      <w:tr>
        <w:trPr/>
        <w:tc>
          <w:tcPr>
            <w:tcW w:w="1505" w:type="dxa"/>
            <w:tcBorders/>
            <w:vAlign w:val="center"/>
          </w:tcPr>
          <w:p>
            <w:pPr>
              <w:pStyle w:val="TableContents"/>
              <w:bidi w:val="0"/>
              <w:spacing w:before="0" w:after="0"/>
              <w:ind w:left="0" w:right="0" w:hanging="0"/>
              <w:jc w:val="left"/>
              <w:rPr/>
            </w:pPr>
            <w:r>
              <w:rPr/>
              <w:t> </w:t>
            </w:r>
          </w:p>
        </w:tc>
        <w:tc>
          <w:tcPr>
            <w:tcW w:w="362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83912.htm"/>
      <w:bookmarkStart w:id="3" w:name="ksex_983912"/>
      <w:bookmarkEnd w:id="2"/>
      <w:bookmarkEnd w:id="3"/>
      <w:r>
        <w:rPr>
          <w:rFonts w:ascii="Times New Roman;Times;serif" w:hAnsi="Times New Roman;Times;serif"/>
          <w:b/>
          <w:sz w:val="20"/>
        </w:rPr>
        <w:t>Exhibit 10.1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FIRST AMENDMENT TO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FIRST AMENDMENT, dated as of July 2, 2026 (the “</w:t>
      </w:r>
      <w:r>
        <w:rPr>
          <w:rFonts w:ascii="Times New Roman" w:hAnsi="Times New Roman"/>
          <w:caps w:val="false"/>
          <w:smallCaps w:val="false"/>
          <w:sz w:val="20"/>
          <w:u w:val="single"/>
        </w:rPr>
        <w:t>Amendment</w:t>
      </w:r>
      <w:r>
        <w:rPr>
          <w:rFonts w:ascii="Times New Roman" w:hAnsi="Times New Roman"/>
          <w:caps w:val="false"/>
          <w:smallCaps w:val="false"/>
          <w:sz w:val="20"/>
        </w:rPr>
        <w:t>”), to the Amended and Restated Employment Agreement (the “</w:t>
      </w:r>
      <w:r>
        <w:rPr>
          <w:rFonts w:ascii="Times New Roman" w:hAnsi="Times New Roman"/>
          <w:caps w:val="false"/>
          <w:smallCaps w:val="false"/>
          <w:sz w:val="20"/>
          <w:u w:val="single"/>
        </w:rPr>
        <w:t>Employment Agreement</w:t>
      </w:r>
      <w:r>
        <w:rPr>
          <w:rFonts w:ascii="Times New Roman" w:hAnsi="Times New Roman"/>
          <w:caps w:val="false"/>
          <w:smallCaps w:val="false"/>
          <w:sz w:val="20"/>
        </w:rPr>
        <w:t>”) dated as of February 3, 2025 by and between Farouq Tuweiq (“</w:t>
      </w:r>
      <w:r>
        <w:rPr>
          <w:rFonts w:ascii="Times New Roman" w:hAnsi="Times New Roman"/>
          <w:caps w:val="false"/>
          <w:smallCaps w:val="false"/>
          <w:sz w:val="20"/>
          <w:u w:val="single"/>
        </w:rPr>
        <w:t>Executive</w:t>
      </w:r>
      <w:r>
        <w:rPr>
          <w:rFonts w:ascii="Times New Roman" w:hAnsi="Times New Roman"/>
          <w:caps w:val="false"/>
          <w:smallCaps w:val="false"/>
          <w:sz w:val="20"/>
        </w:rPr>
        <w:t>”) and Bel Fuse, Inc., a New Jersey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WHEREAS, the Company and Executive desire to memorialize certain changes to the compensation terms of the Employment Agreement approved by the Compensation Committee of the Board of Directors of the Company which are effective as of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promises and the mutual covenants and agreements contained herein and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82"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Base Salary</w:t>
            </w:r>
            <w:r>
              <w:rPr>
                <w:rFonts w:ascii="Times New Roman" w:hAnsi="Times New Roman"/>
                <w:caps w:val="false"/>
                <w:smallCaps w:val="false"/>
                <w:sz w:val="20"/>
              </w:rPr>
              <w:t>.  Effective as of June 1, 2026, the Base Salary amount set forth in Section 4.1 of the Employment Agreement shall be $725,000.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6"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Annual Variable Compensation</w:t>
            </w:r>
            <w:r>
              <w:rPr>
                <w:rFonts w:ascii="Times New Roman" w:hAnsi="Times New Roman"/>
                <w:caps w:val="false"/>
                <w:smallCaps w:val="false"/>
                <w:sz w:val="20"/>
              </w:rPr>
              <w:t>.  Effective as of June 1, 2026, (i) the target annual variable  compensation amount set forth in Section 4.2 of the Employment Agreement shall be $2,100,000, and (ii) the allocation of any such variable compensation amount shall be 40% cash and 60% in the form of time-based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93"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Long-Term Performance Awards</w:t>
            </w:r>
            <w:r>
              <w:rPr>
                <w:rFonts w:ascii="Times New Roman" w:hAnsi="Times New Roman"/>
                <w:caps w:val="false"/>
                <w:smallCaps w:val="false"/>
                <w:sz w:val="20"/>
              </w:rPr>
              <w:t>.  Effective as of June 1, 2026, the annual Long-Term Performance Award amount set forth in Section 4.3 of the Employment Agreement shall be $1,875,000.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6"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Entire Agreement</w:t>
            </w:r>
            <w:r>
              <w:rPr>
                <w:rFonts w:ascii="Times New Roman" w:hAnsi="Times New Roman"/>
                <w:caps w:val="false"/>
                <w:smallCaps w:val="false"/>
                <w:sz w:val="20"/>
              </w:rPr>
              <w:t>.  This Amendment, together with the Employment Agreement, constitutes the entire agreement between the parties with respect to the subject matter hereof and supersedes any prior understandings, agreements, or representations by or between the parties, written or oral, that may have related in any way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98"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shall be construed in accordance with the laws of the State of New Jersey without regard to conflicts of law principles to the same extent as set forth in Section 12 of the Employment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Amendment as of the date first indicated above.  This Amendment may be executed in counterparts (including via facsimile and electronic image scan (pdf) or Docusign), and each such counterpart shall be an original and all shall together constitute but one and the same Amendment.</w:t>
      </w:r>
    </w:p>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75"/>
        <w:gridCol w:w="60"/>
        <w:gridCol w:w="239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BEL FUSE,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sz w:val="20"/>
                <w:u w:val="single"/>
              </w:rPr>
              <w:t>/s/ Lynn Hutkin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Lynn Hutkin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Farouq Tuweiq</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Farouq Tuweiq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 w:name="ex_983913.htm"/>
      <w:bookmarkStart w:id="5" w:name="ksex_983913"/>
      <w:bookmarkEnd w:id="4"/>
      <w:bookmarkEnd w:id="5"/>
      <w:r>
        <w:rPr>
          <w:rFonts w:ascii="Times New Roman" w:hAnsi="Times New Roman"/>
          <w:b/>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FIRST AMENDMENT TO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FIRST AMENDMENT, dated as of July 2, 2026 (the “</w:t>
      </w:r>
      <w:r>
        <w:rPr>
          <w:rFonts w:ascii="Times New Roman" w:hAnsi="Times New Roman"/>
          <w:caps w:val="false"/>
          <w:smallCaps w:val="false"/>
          <w:sz w:val="20"/>
          <w:u w:val="single"/>
        </w:rPr>
        <w:t>Amendment</w:t>
      </w:r>
      <w:r>
        <w:rPr>
          <w:rFonts w:ascii="Times New Roman" w:hAnsi="Times New Roman"/>
          <w:caps w:val="false"/>
          <w:smallCaps w:val="false"/>
          <w:sz w:val="20"/>
        </w:rPr>
        <w:t>”), to the Employment Agreement (the “</w:t>
      </w:r>
      <w:r>
        <w:rPr>
          <w:rFonts w:ascii="Times New Roman" w:hAnsi="Times New Roman"/>
          <w:caps w:val="false"/>
          <w:smallCaps w:val="false"/>
          <w:sz w:val="20"/>
          <w:u w:val="single"/>
        </w:rPr>
        <w:t>Employment Agreement</w:t>
      </w:r>
      <w:r>
        <w:rPr>
          <w:rFonts w:ascii="Times New Roman" w:hAnsi="Times New Roman"/>
          <w:caps w:val="false"/>
          <w:smallCaps w:val="false"/>
          <w:sz w:val="20"/>
        </w:rPr>
        <w:t>”) dated as of May 20, 2025 by and between Lynn Hutkin (“</w:t>
      </w:r>
      <w:r>
        <w:rPr>
          <w:rFonts w:ascii="Times New Roman" w:hAnsi="Times New Roman"/>
          <w:caps w:val="false"/>
          <w:smallCaps w:val="false"/>
          <w:sz w:val="20"/>
          <w:u w:val="single"/>
        </w:rPr>
        <w:t>Executive</w:t>
      </w:r>
      <w:r>
        <w:rPr>
          <w:rFonts w:ascii="Times New Roman" w:hAnsi="Times New Roman"/>
          <w:caps w:val="false"/>
          <w:smallCaps w:val="false"/>
          <w:sz w:val="20"/>
        </w:rPr>
        <w:t>”) and Bel Fuse, Inc., a New Jersey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WHEREAS, the Company and Executive desire to memorialize certain changes to the compensation terms of the Employment Agreement approved by the Compensation Committee of the Board of Directors of the Company which are effective as of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promises and the mutual covenants and agreements contained herein and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6"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Base Salary</w:t>
            </w:r>
            <w:r>
              <w:rPr>
                <w:rFonts w:ascii="Times New Roman" w:hAnsi="Times New Roman"/>
                <w:caps w:val="false"/>
                <w:smallCaps w:val="false"/>
                <w:sz w:val="20"/>
              </w:rPr>
              <w:t>.  Effective as of June 1, 2026, the Base Salary amount set forth in Exhibit A of the Employment Agreement (“</w:t>
            </w:r>
            <w:r>
              <w:rPr>
                <w:rFonts w:ascii="Times New Roman" w:hAnsi="Times New Roman"/>
                <w:caps w:val="false"/>
                <w:smallCaps w:val="false"/>
                <w:sz w:val="20"/>
                <w:u w:val="single"/>
              </w:rPr>
              <w:t>Exhibit A</w:t>
            </w:r>
            <w:r>
              <w:rPr>
                <w:rFonts w:ascii="Times New Roman" w:hAnsi="Times New Roman"/>
                <w:caps w:val="false"/>
                <w:smallCaps w:val="false"/>
                <w:sz w:val="20"/>
              </w:rPr>
              <w:t>”) shall be $400,000.</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5195"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Annual Variable Compensation</w:t>
            </w:r>
            <w:r>
              <w:rPr>
                <w:rFonts w:ascii="Times New Roman" w:hAnsi="Times New Roman"/>
                <w:caps w:val="false"/>
                <w:smallCaps w:val="false"/>
                <w:sz w:val="20"/>
              </w:rPr>
              <w:t>.  Effective as of June 1, 2026:</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155"/>
        <w:gridCol w:w="740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400"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Annual Variable  Compensation percentage set forth in Exhibit A shall be 150%;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allocation of any variable compensation amount awarded pursuant to Section 4.2 of the Employment Agreement shall be 55% cash and 45% in the form of time-based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4"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Long-Term Performance Awards</w:t>
            </w:r>
            <w:r>
              <w:rPr>
                <w:rFonts w:ascii="Times New Roman" w:hAnsi="Times New Roman"/>
                <w:caps w:val="false"/>
                <w:smallCaps w:val="false"/>
                <w:sz w:val="20"/>
              </w:rPr>
              <w:t>.  Effective as of June 1, 2026, the Long-Term Performance Award percentage set forth in Exhibit A shall be 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6"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Entire Agreement</w:t>
            </w:r>
            <w:r>
              <w:rPr>
                <w:rFonts w:ascii="Times New Roman" w:hAnsi="Times New Roman"/>
                <w:caps w:val="false"/>
                <w:smallCaps w:val="false"/>
                <w:sz w:val="20"/>
              </w:rPr>
              <w:t>.  This Amendment, together with the Employment Agreement, constitutes the entire agreement between the parties with respect to the subject matter hereof and supersedes any prior understandings, agreements, or representations by or between the parties, written or oral, that may have related in any way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98"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shall be construed in accordance with the laws of the State of New Jersey without regard to conflicts of law principles to the same extent as set forth in Section 12 of the Employment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Amendment as of the date first indicated above.  This Amendment may be executed in counterparts (including via facsimile and electronic image scan (pdf) or Docusign), and each such counterpart shall be an original and all shall together constitute but one and the same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60"/>
        <w:gridCol w:w="60"/>
        <w:gridCol w:w="243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BEL FUSE, INC.</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Farouq Tuweiq</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u w:val="single"/>
              </w:rPr>
            </w:pPr>
            <w:r>
              <w:rPr>
                <w:u w:val="single"/>
              </w:rPr>
              <w:t>/s/ Lynn Hutkin</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Lynn Hutkin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1615</Words>
  <Characters>8688</Characters>
  <CharactersWithSpaces>10395</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