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BEL FUSE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B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760,141.00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760,141.00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760,141.00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BEL FUSE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300 EXECUTIVE DRIVE, SUITE 300 WEST ORANGE, NJ 07052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B 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80"/>
        <w:spacing w:after="0" w:line="246" w:lineRule="auto"/>
        <w:rPr>
          <w:sz w:val="20"/>
          <w:szCs w:val="20"/>
          <w:color w:val="auto"/>
        </w:rPr>
      </w:pPr>
      <w:r>
        <w:rPr>
          <w:rFonts w:ascii="Times New Roman" w:cs="Times New Roman" w:eastAsia="Times New Roman" w:hAnsi="Times New Roman"/>
          <w:sz w:val="21"/>
          <w:szCs w:val="21"/>
          <w:color w:val="auto"/>
        </w:rPr>
        <w:t>Janus Henderson Group plc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w:t>
      </w:r>
    </w:p>
    <w:p>
      <w:pPr>
        <w:spacing w:after="0" w:line="1" w:lineRule="exact"/>
        <w:rPr>
          <w:sz w:val="20"/>
          <w:szCs w:val="20"/>
          <w:color w:val="auto"/>
        </w:rPr>
      </w:pPr>
    </w:p>
    <w:p>
      <w:pPr>
        <w:ind w:left="920" w:right="20" w:hanging="912"/>
        <w:spacing w:after="0" w:line="232"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Advisors LLC, Tabula Investment Management Limited, and Victory Park Capital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760,141 Class B common stock of Bel Fuse Inc. However, the Asset Managers do not have the right to receive any dividends from, or the proceeds from the sale of, the securities held in the Managed Portfolios and disclaim any ownership associated with such rights.</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7.2 %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760141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760141</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The Managed Portfolios have the right to receive all dividends from, and the proceeds from the sale of, the securities held in their respective accounts. Of the Managed Portfolios, none own more than five percent of the Class B common stock of Bel Fuse Inc.</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101"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Please refer to Exhibit 99.</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Name/Title: Head of North America Compliance</w:t>
      </w:r>
    </w:p>
    <w:p>
      <w:pPr>
        <w:spacing w:after="0" w:line="44"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5/15/2026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Janus Henderson Group plc ("the Company"),</w:t>
      </w:r>
    </w:p>
    <w:p>
      <w:pPr>
        <w:spacing w:after="0" w:line="31" w:lineRule="exact"/>
        <w:rPr>
          <w:sz w:val="20"/>
          <w:szCs w:val="20"/>
          <w:color w:val="auto"/>
        </w:rPr>
      </w:pPr>
    </w:p>
    <w:p>
      <w:pPr>
        <w:ind w:right="3279"/>
        <w:spacing w:after="0" w:line="269" w:lineRule="auto"/>
        <w:rPr>
          <w:sz w:val="20"/>
          <w:szCs w:val="20"/>
          <w:color w:val="auto"/>
        </w:rPr>
      </w:pPr>
      <w:r>
        <w:rPr>
          <w:rFonts w:ascii="Courier New" w:cs="Courier New" w:eastAsia="Courier New" w:hAnsi="Courier New"/>
          <w:sz w:val="16"/>
          <w:szCs w:val="16"/>
          <w:color w:val="auto"/>
        </w:rPr>
        <w:t>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w:t>
      </w:r>
    </w:p>
    <w:p>
      <w:pPr>
        <w:spacing w:after="0" w:line="200" w:lineRule="exact"/>
        <w:rPr>
          <w:sz w:val="20"/>
          <w:szCs w:val="20"/>
          <w:color w:val="auto"/>
        </w:rPr>
      </w:pPr>
    </w:p>
    <w:p>
      <w:pPr>
        <w:spacing w:after="0" w:line="391" w:lineRule="exact"/>
        <w:rPr>
          <w:sz w:val="20"/>
          <w:szCs w:val="20"/>
          <w:color w:val="auto"/>
        </w:rPr>
      </w:pPr>
    </w:p>
    <w:p>
      <w:pPr>
        <w:ind w:right="4119"/>
        <w:spacing w:after="0" w:line="238" w:lineRule="auto"/>
        <w:rPr>
          <w:sz w:val="20"/>
          <w:szCs w:val="20"/>
          <w:color w:val="auto"/>
        </w:rPr>
      </w:pPr>
      <w:r>
        <w:rPr>
          <w:rFonts w:ascii="Courier New" w:cs="Courier New" w:eastAsia="Courier New" w:hAnsi="Courier New"/>
          <w:sz w:val="18"/>
          <w:szCs w:val="18"/>
          <w:color w:val="auto"/>
        </w:rPr>
        <w:t>be an employee of the Company or one of its affiliates. IN WITNESS WHEREOF, the undersigned has caused this power of attorney to be executed as of this 9th day of December, 2022. Janus Henderson Group plc By: /s/ Michelle Rosenberg</w:t>
      </w: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The Asset Managers on whose behalf JHG is reporting include: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US LLC (IA)</w:t>
      </w:r>
    </w:p>
    <w:p>
      <w:pPr>
        <w:spacing w:after="0" w:line="238" w:lineRule="auto"/>
        <w:rPr>
          <w:sz w:val="20"/>
          <w:szCs w:val="20"/>
          <w:color w:val="auto"/>
        </w:rPr>
      </w:pPr>
      <w:r>
        <w:rPr>
          <w:rFonts w:ascii="Courier New" w:cs="Courier New" w:eastAsia="Courier New" w:hAnsi="Courier New"/>
          <w:sz w:val="18"/>
          <w:szCs w:val="18"/>
          <w:color w:val="auto"/>
        </w:rPr>
        <w:t>Janus Henderson Investors UK Limited (FI)</w:t>
      </w:r>
    </w:p>
    <w:p>
      <w:pPr>
        <w:spacing w:after="0"/>
        <w:rPr>
          <w:sz w:val="20"/>
          <w:szCs w:val="20"/>
          <w:color w:val="auto"/>
        </w:rPr>
      </w:pPr>
      <w:r>
        <w:rPr>
          <w:rFonts w:ascii="Courier New" w:cs="Courier New" w:eastAsia="Courier New" w:hAnsi="Courier New"/>
          <w:sz w:val="16"/>
          <w:szCs w:val="16"/>
          <w:color w:val="auto"/>
        </w:rPr>
        <w:t>Janus Henderson Investors Australia Institutional Funds Management Limited (FI)</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International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Middle East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(Jersey) Limited (FI)</w:t>
      </w:r>
    </w:p>
    <w:p>
      <w:pPr>
        <w:spacing w:after="0"/>
        <w:rPr>
          <w:sz w:val="20"/>
          <w:szCs w:val="20"/>
          <w:color w:val="auto"/>
        </w:rPr>
      </w:pPr>
      <w:r>
        <w:rPr>
          <w:rFonts w:ascii="Courier New" w:cs="Courier New" w:eastAsia="Courier New" w:hAnsi="Courier New"/>
          <w:sz w:val="18"/>
          <w:szCs w:val="18"/>
          <w:color w:val="auto"/>
        </w:rPr>
        <w:t>Janus Henderson Investors (Japan)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(Singapore) Limited (FI)</w:t>
      </w:r>
    </w:p>
    <w:p>
      <w:pPr>
        <w:spacing w:after="0" w:line="238" w:lineRule="auto"/>
        <w:rPr>
          <w:sz w:val="20"/>
          <w:szCs w:val="20"/>
          <w:color w:val="auto"/>
        </w:rPr>
      </w:pPr>
      <w:r>
        <w:rPr>
          <w:rFonts w:ascii="Courier New" w:cs="Courier New" w:eastAsia="Courier New" w:hAnsi="Courier New"/>
          <w:sz w:val="18"/>
          <w:szCs w:val="18"/>
          <w:color w:val="auto"/>
        </w:rPr>
        <w:t>Kapstream Capital Pty Limited (FI)</w:t>
      </w:r>
    </w:p>
    <w:p>
      <w:pPr>
        <w:spacing w:after="0"/>
        <w:rPr>
          <w:sz w:val="20"/>
          <w:szCs w:val="20"/>
          <w:color w:val="auto"/>
        </w:rPr>
      </w:pPr>
      <w:r>
        <w:rPr>
          <w:rFonts w:ascii="Courier New" w:cs="Courier New" w:eastAsia="Courier New" w:hAnsi="Courier New"/>
          <w:sz w:val="18"/>
          <w:szCs w:val="18"/>
          <w:color w:val="auto"/>
        </w:rPr>
        <w:t>Privacore Capital Advisors LLC (FI)</w:t>
      </w:r>
    </w:p>
    <w:p>
      <w:pPr>
        <w:spacing w:after="0" w:line="238" w:lineRule="auto"/>
        <w:rPr>
          <w:sz w:val="20"/>
          <w:szCs w:val="20"/>
          <w:color w:val="auto"/>
        </w:rPr>
      </w:pPr>
      <w:r>
        <w:rPr>
          <w:rFonts w:ascii="Courier New" w:cs="Courier New" w:eastAsia="Courier New" w:hAnsi="Courier New"/>
          <w:sz w:val="18"/>
          <w:szCs w:val="18"/>
          <w:color w:val="auto"/>
        </w:rPr>
        <w:t>Tabula Investment Management Limited (FI)</w:t>
      </w:r>
    </w:p>
    <w:p>
      <w:pPr>
        <w:spacing w:after="0"/>
        <w:rPr>
          <w:sz w:val="20"/>
          <w:szCs w:val="20"/>
          <w:color w:val="auto"/>
        </w:rPr>
      </w:pPr>
      <w:r>
        <w:rPr>
          <w:rFonts w:ascii="Courier New" w:cs="Courier New" w:eastAsia="Courier New" w:hAnsi="Courier New"/>
          <w:sz w:val="18"/>
          <w:szCs w:val="18"/>
          <w:color w:val="auto"/>
        </w:rPr>
        <w:t>Victory Park Capital Advisors LLC (FI)</w:t>
      </w:r>
    </w:p>
    <w:p>
      <w:pPr>
        <w:spacing w:after="0" w:line="169" w:lineRule="exact"/>
        <w:rPr>
          <w:sz w:val="20"/>
          <w:szCs w:val="20"/>
          <w:color w:val="auto"/>
        </w:rPr>
      </w:pPr>
    </w:p>
    <w:p>
      <w:pPr>
        <w:ind w:right="1699"/>
        <w:spacing w:after="0" w:line="346" w:lineRule="auto"/>
        <w:rPr>
          <w:sz w:val="20"/>
          <w:szCs w:val="20"/>
          <w:color w:val="auto"/>
        </w:rPr>
      </w:pPr>
      <w:r>
        <w:rPr>
          <w:rFonts w:ascii="Courier New" w:cs="Courier New" w:eastAsia="Courier New" w:hAnsi="Courier New"/>
          <w:sz w:val="18"/>
          <w:szCs w:val="18"/>
          <w:color w:val="auto"/>
        </w:rPr>
        <w:t>Please note that not every Asset Manager has investment and/or voting discretion over the securities reported herein.</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2026-05-15T11:37:09Z</dcterms:created>
  <dcterms:modified xsi:type="dcterms:W3CDTF">2026-05-15T11:37:09Z</dcterms:modified>
</cp:coreProperties>
</file>