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0047-8k_belfu.htm"/>
      <w:bookmarkStart w:id="1" w:name="ksea02900478k_belfu"/>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51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May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4_edei--EntityRegistrantName_dxL_c"/>
      <w:bookmarkEnd w:id="4"/>
      <w:r>
        <w:rPr>
          <w:rFonts w:ascii="Times New Roman;Times;Serif" w:hAnsi="Times New Roman;Times;Serif"/>
          <w:b/>
          <w:i w:val="false"/>
          <w:caps w:val="false"/>
          <w:smallCaps w:val="false"/>
          <w:sz w:val="20"/>
        </w:rPr>
        <w:t>BEL FUSE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790" w:type="dxa"/>
        <w:jc w:val="left"/>
        <w:tblInd w:w="0" w:type="dxa"/>
        <w:tblLayout w:type="fixed"/>
        <w:tblCellMar>
          <w:top w:w="0" w:type="dxa"/>
          <w:left w:w="0" w:type="dxa"/>
          <w:bottom w:w="28" w:type="dxa"/>
          <w:right w:w="0" w:type="dxa"/>
        </w:tblCellMar>
      </w:tblPr>
      <w:tblGrid>
        <w:gridCol w:w="1925"/>
        <w:gridCol w:w="60"/>
        <w:gridCol w:w="2210"/>
        <w:gridCol w:w="60"/>
        <w:gridCol w:w="1535"/>
      </w:tblGrid>
      <w:tr>
        <w:trPr/>
        <w:tc>
          <w:tcPr>
            <w:tcW w:w="1925" w:type="dxa"/>
            <w:tcBorders>
              <w:bottom w:val="single" w:sz="12" w:space="0" w:color="000000"/>
            </w:tcBorders>
            <w:vAlign w:val="center"/>
          </w:tcPr>
          <w:p>
            <w:pPr>
              <w:pStyle w:val="TableContents"/>
              <w:bidi w:val="0"/>
              <w:spacing w:before="0" w:after="283"/>
              <w:jc w:val="center"/>
              <w:rPr>
                <w:sz w:val="20"/>
              </w:rPr>
            </w:pPr>
            <w:bookmarkStart w:id="5" w:name="xdx_90D_edei--EntityIncorporationStateCo"/>
            <w:bookmarkEnd w:id="5"/>
            <w:r>
              <w:rPr>
                <w:sz w:val="20"/>
              </w:rPr>
              <w:t>New Jersey</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sz w:val="20"/>
              </w:rPr>
            </w:pPr>
            <w:bookmarkStart w:id="6" w:name="xdx_908_edei--EntityFileNumber_c20260512"/>
            <w:bookmarkEnd w:id="6"/>
            <w:r>
              <w:rPr>
                <w:sz w:val="20"/>
              </w:rPr>
              <w:t>000-11676</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sz w:val="20"/>
              </w:rPr>
            </w:pPr>
            <w:bookmarkStart w:id="7" w:name="xdx_90D_edei--EntityTaxIdentificationNum"/>
            <w:bookmarkEnd w:id="7"/>
            <w:r>
              <w:rPr>
                <w:sz w:val="20"/>
              </w:rPr>
              <w:t>22-1463699</w:t>
            </w:r>
          </w:p>
        </w:tc>
      </w:tr>
      <w:tr>
        <w:trPr/>
        <w:tc>
          <w:tcPr>
            <w:tcW w:w="1925" w:type="dxa"/>
            <w:tcBorders/>
            <w:tcMar>
              <w:bottom w:w="0" w:type="dxa"/>
            </w:tcMar>
            <w:vAlign w:val="center"/>
          </w:tcPr>
          <w:p>
            <w:pPr>
              <w:pStyle w:val="TableContents"/>
              <w:bidi w:val="0"/>
              <w:spacing w:before="0" w:after="283"/>
              <w:jc w:val="center"/>
              <w:rPr>
                <w:sz w:val="20"/>
              </w:rPr>
            </w:pPr>
            <w:r>
              <w:rPr>
                <w:sz w:val="20"/>
              </w:rPr>
              <w:t>(State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28" w:type="dxa"/>
          <w:right w:w="0" w:type="dxa"/>
        </w:tblCellMar>
      </w:tblPr>
      <w:tblGrid>
        <w:gridCol w:w="4700"/>
        <w:gridCol w:w="60"/>
        <w:gridCol w:w="920"/>
      </w:tblGrid>
      <w:tr>
        <w:trPr/>
        <w:tc>
          <w:tcPr>
            <w:tcW w:w="4700" w:type="dxa"/>
            <w:tcBorders>
              <w:bottom w:val="single" w:sz="12" w:space="0" w:color="000000"/>
            </w:tcBorders>
            <w:vAlign w:val="center"/>
          </w:tcPr>
          <w:p>
            <w:pPr>
              <w:pStyle w:val="TableContents"/>
              <w:bidi w:val="0"/>
              <w:spacing w:before="0" w:after="283"/>
              <w:jc w:val="center"/>
              <w:rPr>
                <w:sz w:val="20"/>
              </w:rPr>
            </w:pPr>
            <w:bookmarkStart w:id="8" w:name="xdx_903_edei--EntityAddressAddressLine1_"/>
            <w:bookmarkEnd w:id="8"/>
            <w:r>
              <w:rPr>
                <w:sz w:val="20"/>
              </w:rPr>
              <w:t xml:space="preserve">300 Executive Drive, Suite 300, </w:t>
            </w:r>
            <w:bookmarkStart w:id="9" w:name="xdx_905_edei--EntityAddressCityOrTown_c2"/>
            <w:bookmarkEnd w:id="9"/>
            <w:r>
              <w:rPr>
                <w:sz w:val="20"/>
              </w:rPr>
              <w:t xml:space="preserve">West Orange, </w:t>
            </w:r>
            <w:bookmarkStart w:id="10" w:name="xdx_90E_edei--EntityAddressStateOrProvin"/>
            <w:bookmarkEnd w:id="10"/>
            <w:r>
              <w:rPr>
                <w:sz w:val="20"/>
              </w:rPr>
              <w:t>New Jersey</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sz w:val="20"/>
              </w:rPr>
            </w:pPr>
            <w:bookmarkStart w:id="11" w:name="xdx_903_edei--EntityAddressPostalZipCode"/>
            <w:bookmarkEnd w:id="11"/>
            <w:r>
              <w:rPr>
                <w:sz w:val="20"/>
              </w:rPr>
              <w:t>07052</w:t>
            </w:r>
          </w:p>
        </w:tc>
      </w:tr>
      <w:tr>
        <w:trPr/>
        <w:tc>
          <w:tcPr>
            <w:tcW w:w="470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D_edei--CityAreaCode_c20260512__20"/>
      <w:bookmarkEnd w:id="12"/>
      <w:r>
        <w:rPr>
          <w:rFonts w:ascii="Times New Roman;Times;Serif" w:hAnsi="Times New Roman;Times;Serif"/>
          <w:b w:val="false"/>
          <w:i w:val="false"/>
          <w:caps w:val="false"/>
          <w:smallCaps w:val="false"/>
          <w:sz w:val="20"/>
        </w:rPr>
        <w:t xml:space="preserve">201) </w:t>
      </w:r>
      <w:bookmarkStart w:id="13" w:name="xdx_90C_edei--LocalPhoneNumber_c20260512"/>
      <w:bookmarkEnd w:id="13"/>
      <w:r>
        <w:rPr>
          <w:rFonts w:ascii="Times New Roman;Times;Serif" w:hAnsi="Times New Roman;Times;Serif"/>
          <w:b w:val="false"/>
          <w:i w:val="false"/>
          <w:caps w:val="false"/>
          <w:smallCaps w:val="false"/>
          <w:sz w:val="20"/>
        </w:rPr>
        <w:t>432-0463</w:t>
      </w:r>
    </w:p>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28" w:type="dxa"/>
          <w:right w:w="0" w:type="dxa"/>
        </w:tblCellMar>
      </w:tblPr>
      <w:tblGrid>
        <w:gridCol w:w="5240"/>
      </w:tblGrid>
      <w:tr>
        <w:trPr/>
        <w:tc>
          <w:tcPr>
            <w:tcW w:w="5240" w:type="dxa"/>
            <w:tcBorders>
              <w:bottom w:val="single" w:sz="12" w:space="0" w:color="000000"/>
            </w:tcBorders>
            <w:vAlign w:val="center"/>
          </w:tcPr>
          <w:p>
            <w:pPr>
              <w:pStyle w:val="TableContents"/>
              <w:bidi w:val="0"/>
              <w:spacing w:before="0" w:after="283"/>
              <w:jc w:val="center"/>
              <w:rPr>
                <w:sz w:val="20"/>
              </w:rPr>
            </w:pPr>
            <w:r>
              <w:rPr>
                <w:sz w:val="20"/>
              </w:rPr>
              <w:t>Not Applicable</w:t>
            </w:r>
          </w:p>
        </w:tc>
      </w:tr>
      <w:tr>
        <w:trPr/>
        <w:tc>
          <w:tcPr>
            <w:tcW w:w="5240" w:type="dxa"/>
            <w:tcBorders/>
            <w:tcMar>
              <w:bottom w:w="0" w:type="dxa"/>
            </w:tcMar>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pPr>
            <w:bookmarkStart w:id="14" w:name="xdx_90C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both"/>
              <w:rPr/>
            </w:pPr>
            <w:bookmarkStart w:id="15" w:name="xdx_908_edei--SolicitingMaterial_c202605"/>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6" w:name="xdx_902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both"/>
              <w:rPr/>
            </w:pPr>
            <w:bookmarkStart w:id="17" w:name="xdx_900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30" w:type="dxa"/>
        <w:jc w:val="left"/>
        <w:tblInd w:w="0" w:type="dxa"/>
        <w:tblLayout w:type="fixed"/>
        <w:tblCellMar>
          <w:top w:w="0" w:type="dxa"/>
          <w:left w:w="0" w:type="dxa"/>
          <w:bottom w:w="28" w:type="dxa"/>
          <w:right w:w="0" w:type="dxa"/>
        </w:tblCellMar>
      </w:tblPr>
      <w:tblGrid>
        <w:gridCol w:w="3380"/>
        <w:gridCol w:w="60"/>
        <w:gridCol w:w="1325"/>
        <w:gridCol w:w="60"/>
        <w:gridCol w:w="3305"/>
      </w:tblGrid>
      <w:tr>
        <w:trPr/>
        <w:tc>
          <w:tcPr>
            <w:tcW w:w="3380" w:type="dxa"/>
            <w:tcBorders>
              <w:bottom w:val="single" w:sz="12" w:space="0" w:color="000000"/>
            </w:tcBorders>
            <w:vAlign w:val="center"/>
          </w:tcPr>
          <w:p>
            <w:pPr>
              <w:pStyle w:val="TableContents"/>
              <w:bidi w:val="0"/>
              <w:spacing w:before="0" w:after="283"/>
              <w:jc w:val="center"/>
              <w:rPr>
                <w:i/>
                <w:sz w:val="20"/>
              </w:rPr>
            </w:pPr>
            <w:r>
              <w:rPr>
                <w:i/>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12" w:space="0" w:color="000000"/>
            </w:tcBorders>
            <w:vAlign w:val="center"/>
          </w:tcPr>
          <w:p>
            <w:pPr>
              <w:pStyle w:val="TableContents"/>
              <w:bidi w:val="0"/>
              <w:spacing w:before="0" w:after="283"/>
              <w:jc w:val="center"/>
              <w:rPr>
                <w:i/>
                <w:sz w:val="20"/>
              </w:rPr>
            </w:pPr>
            <w:r>
              <w:rPr>
                <w:i/>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305" w:type="dxa"/>
            <w:tcBorders>
              <w:bottom w:val="single" w:sz="12" w:space="0" w:color="000000"/>
            </w:tcBorders>
            <w:vAlign w:val="center"/>
          </w:tcPr>
          <w:p>
            <w:pPr>
              <w:pStyle w:val="TableContents"/>
              <w:bidi w:val="0"/>
              <w:spacing w:before="0" w:after="283"/>
              <w:jc w:val="center"/>
              <w:rPr>
                <w:i/>
                <w:sz w:val="20"/>
              </w:rPr>
            </w:pPr>
            <w:r>
              <w:rPr>
                <w:i/>
                <w:sz w:val="20"/>
              </w:rPr>
              <w:t>Name of Exchange on Which Registered</w:t>
            </w:r>
          </w:p>
        </w:tc>
      </w:tr>
      <w:tr>
        <w:trPr/>
        <w:tc>
          <w:tcPr>
            <w:tcW w:w="3380" w:type="dxa"/>
            <w:tcBorders/>
            <w:shd w:fill="CCEEFF" w:val="clear"/>
            <w:tcMar>
              <w:bottom w:w="0" w:type="dxa"/>
            </w:tcMar>
            <w:vAlign w:val="center"/>
          </w:tcPr>
          <w:p>
            <w:pPr>
              <w:pStyle w:val="TableContents"/>
              <w:bidi w:val="0"/>
              <w:spacing w:before="0" w:after="283"/>
              <w:jc w:val="center"/>
              <w:rPr>
                <w:sz w:val="20"/>
              </w:rPr>
            </w:pPr>
            <w:bookmarkStart w:id="18" w:name="xdx_909_edei--Security12bTitle_c20260512"/>
            <w:bookmarkEnd w:id="18"/>
            <w:r>
              <w:rPr>
                <w:sz w:val="20"/>
              </w:rPr>
              <w:t>Class A Common Stock ($0.10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center"/>
              <w:rPr>
                <w:sz w:val="20"/>
              </w:rPr>
            </w:pPr>
            <w:bookmarkStart w:id="19" w:name="xdx_903_edei--TradingSymbol_c20260512__2"/>
            <w:bookmarkEnd w:id="19"/>
            <w:r>
              <w:rPr>
                <w:sz w:val="20"/>
              </w:rPr>
              <w:t>BELFA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5" w:type="dxa"/>
            <w:tcBorders/>
            <w:shd w:fill="CCEEFF" w:val="clear"/>
            <w:tcMar>
              <w:bottom w:w="0" w:type="dxa"/>
            </w:tcMar>
            <w:vAlign w:val="center"/>
          </w:tcPr>
          <w:p>
            <w:pPr>
              <w:pStyle w:val="TableContents"/>
              <w:bidi w:val="0"/>
              <w:spacing w:before="0" w:after="283"/>
              <w:jc w:val="center"/>
              <w:rPr>
                <w:sz w:val="20"/>
              </w:rPr>
            </w:pPr>
            <w:bookmarkStart w:id="20" w:name="xdx_909_edei--SecurityExchangeName_c2026"/>
            <w:bookmarkEnd w:id="20"/>
            <w:r>
              <w:rPr>
                <w:sz w:val="20"/>
              </w:rPr>
              <w:t>Nasdaq Global Select Market</w:t>
            </w:r>
          </w:p>
        </w:tc>
      </w:tr>
      <w:tr>
        <w:trPr/>
        <w:tc>
          <w:tcPr>
            <w:tcW w:w="3380" w:type="dxa"/>
            <w:tcBorders/>
            <w:shd w:fill="FFFFFF" w:val="clear"/>
            <w:tcMar>
              <w:bottom w:w="0" w:type="dxa"/>
            </w:tcMar>
            <w:vAlign w:val="center"/>
          </w:tcPr>
          <w:p>
            <w:pPr>
              <w:pStyle w:val="TableContents"/>
              <w:bidi w:val="0"/>
              <w:spacing w:before="0" w:after="283"/>
              <w:jc w:val="center"/>
              <w:rPr>
                <w:sz w:val="20"/>
              </w:rPr>
            </w:pPr>
            <w:bookmarkStart w:id="21" w:name="xdx_903_edei--Security12bTitle_c20260512"/>
            <w:bookmarkEnd w:id="21"/>
            <w:r>
              <w:rPr>
                <w:sz w:val="20"/>
              </w:rPr>
              <w:t>Class B Common Stock ($0.10 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center"/>
              <w:rPr>
                <w:sz w:val="20"/>
              </w:rPr>
            </w:pPr>
            <w:bookmarkStart w:id="22" w:name="xdx_90F_edei--TradingSymbol_c20260512__2"/>
            <w:bookmarkEnd w:id="22"/>
            <w:r>
              <w:rPr>
                <w:sz w:val="20"/>
              </w:rPr>
              <w:t>BELFB</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5" w:type="dxa"/>
            <w:tcBorders/>
            <w:shd w:fill="FFFFFF" w:val="clear"/>
            <w:tcMar>
              <w:bottom w:w="0" w:type="dxa"/>
            </w:tcMar>
            <w:vAlign w:val="center"/>
          </w:tcPr>
          <w:p>
            <w:pPr>
              <w:pStyle w:val="TableContents"/>
              <w:bidi w:val="0"/>
              <w:spacing w:before="0" w:after="283"/>
              <w:jc w:val="center"/>
              <w:rPr>
                <w:sz w:val="20"/>
              </w:rPr>
            </w:pPr>
            <w:bookmarkStart w:id="23" w:name="xdx_90E_edei--SecurityExchangeName_c2026"/>
            <w:bookmarkEnd w:id="23"/>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F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Follow-on Offering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Bel Fuse, Inc. (the “Company” or “Bel”) entered into an underwriting agreement (the “Underwriting Agreement”) with Citigroup Global Markets Inc., BofA Securities, Inc. and Wells Fargo Securities, LLC as representatives (the “Representatives”) of the underwriters listed in Schedule I thereto (the “Underwriters”), pursuant to which the Company agreed to issue and sell an aggregate of 1,500,000 shares (the “Shares”) of its Class B common stock, par value $0.10 per share (“Class B Common Stock”), at a price to the public of $266.00 per share (the “Offering”). Under the terms of the Underwriting Agreement, the Company granted the Underwriters an option, for a period of 30 days after the date of the Prospectus Supplement (as defined below), to purchase up to an additional 225,000 shares of Common Stock (the “Option Shares”) at the public offering price, less underwriting discounts and commissions.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Underwriting Agreement, the directors and certain executive officers of the Company entered into agreements providing for a 60-day “lock-up” period with respect to sales of the Company’s securities, subject to certain exceptions.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that the net proceeds from the Offering, after deducting underwriting discounts and commissions and estimated offering expenses, will be approximately $383.3 million. The Company intends to use the net proceeds from the Offering to pay down any outstanding indebtedness under its Credit and Security Agreement, fund the remaining 20% acquisition of Enercon Technologies, Ltd., or other acquisitions or partnership opportunities that may arise, and the remainder, if any, for general corporate purposes. The Company expects the Offering to close on May 15, 2026, subject to the satisfaction of customary closing conditions.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certain customary representations, warranties and covenants concerning the Company, the registration statement and the Prospectus Supplement in the Underwriting Agreement and also agreed to indemnify the Underwriters against certain liabilities, including liabilities under the Securities Act of 1933, as amended (the “Securities Act”). The Offering is being made pursuant to a prospectus supplement, dated May 13, 2026 (the “Prospectus Supplement”), filed with the Securities and Exchange Commission (“SEC”) on May 14, 2026 and an accompanying base prospectus that forms a part of the registration statement on Form S-3ASR (File No. 333-295813), as amended, filed with the SEC on May 12, 2026, which was effective upon filing with the SEC. This Current Report on Form 8-K does not constitute an offer to sell or a solicitation of an offer to buy any of the Shares or the Option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Underwriting Agreement does not purport to be complete descriptions of the rights and obligations of the parties thereunder, and is qualified in its entirety by reference to the full text of the Underwriting Agreement that is filed as Exhibit 1.1 to this Current Report on Form 8-K, respectively, and is incorporated by reference herein. A copy of the opinion of Lowenstein Sandler LLP, relating to the validity of the Shares and the Option Shares in connection with the Offering, is filed as Exhibit 5.1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and May 13, 2026, the Company issued press releases announcing the launch and pricing of the Offering, which are attached hereto as Exhibits 99.1 and 99.2,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Note Regarding Forward Looking Statements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that involve estimates, assumptions, risks and uncertainties. Forward-looking statements include, but are not limited to, statements related to the amount of proceeds expected from the Offering, the timing and certainty of completion of the Offering. The risks and uncertainties relating to the Company and the Offering include general market conditions, the Company’s ability to complete the Offering on favorable terms, or at all, as well as other risks detailed from time to time in the Company’s filings with the SEC, including in its Annual Report on Form 10-K for the year ended December 31, 2025 and in its Quarterly Report on Form 10-Q for the quarter ended March 31, 2026, and the Prospectus Supplement. These documents contain important factors that could cause actual results to differ from current expectations and from the forward-looking statements contained in this Current Report on Form 8-K. These forward-looking statements speak only as of the date of this Current Report on Form 8-K and the Company undertakes no obligation to publicly update any forward-looking statements to reflect new information, events or circumstances after the date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61"/>
        <w:gridCol w:w="60"/>
        <w:gridCol w:w="9084"/>
      </w:tblGrid>
      <w:tr>
        <w:trPr/>
        <w:tc>
          <w:tcPr>
            <w:tcW w:w="1061" w:type="dxa"/>
            <w:tcBorders>
              <w:bottom w:val="single" w:sz="12" w:space="0" w:color="000000"/>
            </w:tcBorders>
            <w:vAlign w:val="center"/>
          </w:tcPr>
          <w:p>
            <w:pPr>
              <w:pStyle w:val="TableContents"/>
              <w:bidi w:val="0"/>
              <w:spacing w:before="0" w:after="283"/>
              <w:jc w:val="left"/>
              <w:rPr/>
            </w:pPr>
            <w:r>
              <w:rPr>
                <w:b/>
              </w:rPr>
              <w:t>Exhibit</w:t>
            </w:r>
            <w:r>
              <w:rPr/>
              <w:t xml:space="preserve"> </w:t>
            </w:r>
            <w:r>
              <w:rPr>
                <w:b/>
              </w:rPr>
              <w:t>No.</w:t>
            </w:r>
          </w:p>
        </w:tc>
        <w:tc>
          <w:tcPr>
            <w:tcW w:w="60" w:type="dxa"/>
            <w:tcBorders/>
            <w:tcMar>
              <w:bottom w:w="0" w:type="dxa"/>
            </w:tcMar>
            <w:vAlign w:val="center"/>
          </w:tcPr>
          <w:p>
            <w:pPr>
              <w:pStyle w:val="TableContents"/>
              <w:bidi w:val="0"/>
              <w:spacing w:before="0" w:after="283"/>
              <w:jc w:val="left"/>
              <w:rPr/>
            </w:pPr>
            <w:r>
              <w:rPr/>
              <w:t> </w:t>
            </w:r>
          </w:p>
        </w:tc>
        <w:tc>
          <w:tcPr>
            <w:tcW w:w="9084"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1061" w:type="dxa"/>
            <w:tcBorders/>
            <w:tcMar>
              <w:bottom w:w="0" w:type="dxa"/>
            </w:tcMar>
            <w:vAlign w:val="center"/>
          </w:tcPr>
          <w:p>
            <w:pPr>
              <w:pStyle w:val="TableContents"/>
              <w:bidi w:val="0"/>
              <w:spacing w:before="0" w:after="283"/>
              <w:jc w:val="left"/>
              <w:rPr/>
            </w:pPr>
            <w:r>
              <w:rPr/>
              <w:t> </w:t>
            </w:r>
          </w:p>
        </w:tc>
        <w:tc>
          <w:tcPr>
            <w:tcW w:w="9144" w:type="dxa"/>
            <w:gridSpan w:val="2"/>
            <w:tcBorders/>
            <w:tcMar>
              <w:bottom w:w="0" w:type="dxa"/>
            </w:tcMar>
            <w:vAlign w:val="center"/>
          </w:tcPr>
          <w:p>
            <w:pPr>
              <w:pStyle w:val="TableContents"/>
              <w:bidi w:val="0"/>
              <w:spacing w:before="0" w:after="283"/>
              <w:jc w:val="left"/>
              <w:rPr/>
            </w:pPr>
            <w:r>
              <w:rPr/>
              <w:t> </w:t>
            </w:r>
          </w:p>
        </w:tc>
      </w:tr>
      <w:tr>
        <w:trPr/>
        <w:tc>
          <w:tcPr>
            <w:tcW w:w="1061" w:type="dxa"/>
            <w:tcBorders/>
            <w:shd w:fill="CCEEFF" w:val="clear"/>
            <w:tcMar>
              <w:bottom w:w="0" w:type="dxa"/>
            </w:tcMar>
            <w:vAlign w:val="center"/>
          </w:tcPr>
          <w:p>
            <w:pPr>
              <w:pStyle w:val="TableContents"/>
              <w:bidi w:val="0"/>
              <w:spacing w:before="0" w:after="283"/>
              <w:jc w:val="left"/>
              <w:rPr>
                <w:sz w:val="20"/>
              </w:rPr>
            </w:pPr>
            <w:r>
              <w:rPr>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4" w:type="dxa"/>
            <w:tcBorders/>
            <w:shd w:fill="CCEEFF" w:val="clear"/>
            <w:tcMar>
              <w:bottom w:w="0" w:type="dxa"/>
            </w:tcMar>
            <w:vAlign w:val="center"/>
          </w:tcPr>
          <w:p>
            <w:pPr>
              <w:pStyle w:val="TableContents"/>
              <w:bidi w:val="0"/>
              <w:spacing w:before="0" w:after="283"/>
              <w:jc w:val="left"/>
              <w:rPr/>
            </w:pPr>
            <w:hyperlink w:anchor="ea029004701ex1-1.htm">
              <w:r>
                <w:rPr>
                  <w:rStyle w:val="InternetLink"/>
                  <w:sz w:val="20"/>
                </w:rPr>
                <w:t>Underwriting Agreement, dated May 13, 2026, by and among Bel Fuse, Inc., Citigroup Global Markets Inc., BofA Securities, Inc., and Wells Fargo Securities, LLC</w:t>
              </w:r>
            </w:hyperlink>
            <w:r>
              <w:rPr>
                <w:sz w:val="20"/>
              </w:rPr>
              <w:t xml:space="preserve"> </w:t>
            </w:r>
          </w:p>
        </w:tc>
      </w:tr>
      <w:tr>
        <w:trPr/>
        <w:tc>
          <w:tcPr>
            <w:tcW w:w="1061" w:type="dxa"/>
            <w:tcBorders/>
            <w:shd w:fill="FFFFFF" w:val="clear"/>
            <w:tcMar>
              <w:bottom w:w="0" w:type="dxa"/>
            </w:tcMar>
            <w:vAlign w:val="center"/>
          </w:tcPr>
          <w:p>
            <w:pPr>
              <w:pStyle w:val="TableContents"/>
              <w:bidi w:val="0"/>
              <w:spacing w:before="0" w:after="283"/>
              <w:jc w:val="left"/>
              <w:rPr/>
            </w:pPr>
            <w:r>
              <w:rPr/>
              <w:t> </w:t>
            </w:r>
          </w:p>
        </w:tc>
        <w:tc>
          <w:tcPr>
            <w:tcW w:w="9144" w:type="dxa"/>
            <w:gridSpan w:val="2"/>
            <w:tcBorders/>
            <w:shd w:fill="FFFFFF" w:val="clear"/>
            <w:tcMar>
              <w:bottom w:w="0" w:type="dxa"/>
            </w:tcMar>
            <w:vAlign w:val="center"/>
          </w:tcPr>
          <w:p>
            <w:pPr>
              <w:pStyle w:val="TableContents"/>
              <w:bidi w:val="0"/>
              <w:spacing w:before="0" w:after="283"/>
              <w:jc w:val="left"/>
              <w:rPr/>
            </w:pPr>
            <w:r>
              <w:rPr/>
              <w:t> </w:t>
            </w:r>
          </w:p>
        </w:tc>
      </w:tr>
      <w:tr>
        <w:trPr/>
        <w:tc>
          <w:tcPr>
            <w:tcW w:w="1061" w:type="dxa"/>
            <w:tcBorders/>
            <w:shd w:fill="CCEEFF" w:val="clear"/>
            <w:tcMar>
              <w:bottom w:w="0" w:type="dxa"/>
            </w:tcMar>
            <w:vAlign w:val="center"/>
          </w:tcPr>
          <w:p>
            <w:pPr>
              <w:pStyle w:val="TableContents"/>
              <w:bidi w:val="0"/>
              <w:spacing w:before="0" w:after="283"/>
              <w:jc w:val="left"/>
              <w:rPr>
                <w:sz w:val="20"/>
              </w:rPr>
            </w:pPr>
            <w:r>
              <w:rPr>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4" w:type="dxa"/>
            <w:tcBorders/>
            <w:shd w:fill="CCEEFF" w:val="clear"/>
            <w:tcMar>
              <w:bottom w:w="0" w:type="dxa"/>
            </w:tcMar>
            <w:vAlign w:val="center"/>
          </w:tcPr>
          <w:p>
            <w:pPr>
              <w:pStyle w:val="TableContents"/>
              <w:bidi w:val="0"/>
              <w:spacing w:before="0" w:after="283"/>
              <w:jc w:val="left"/>
              <w:rPr/>
            </w:pPr>
            <w:hyperlink w:anchor="ea029004701ex5-1.htm">
              <w:r>
                <w:rPr>
                  <w:rStyle w:val="InternetLink"/>
                  <w:sz w:val="20"/>
                </w:rPr>
                <w:t>Opinion of Lowenstein Sandler LLP</w:t>
              </w:r>
            </w:hyperlink>
          </w:p>
        </w:tc>
      </w:tr>
      <w:tr>
        <w:trPr/>
        <w:tc>
          <w:tcPr>
            <w:tcW w:w="1061" w:type="dxa"/>
            <w:tcBorders/>
            <w:shd w:fill="FFFFFF" w:val="clear"/>
            <w:tcMar>
              <w:bottom w:w="0" w:type="dxa"/>
            </w:tcMar>
            <w:vAlign w:val="center"/>
          </w:tcPr>
          <w:p>
            <w:pPr>
              <w:pStyle w:val="TableContents"/>
              <w:bidi w:val="0"/>
              <w:spacing w:before="0" w:after="283"/>
              <w:jc w:val="left"/>
              <w:rPr/>
            </w:pPr>
            <w:r>
              <w:rPr/>
              <w:t> </w:t>
            </w:r>
          </w:p>
        </w:tc>
        <w:tc>
          <w:tcPr>
            <w:tcW w:w="9144" w:type="dxa"/>
            <w:gridSpan w:val="2"/>
            <w:tcBorders/>
            <w:shd w:fill="FFFFFF" w:val="clear"/>
            <w:tcMar>
              <w:bottom w:w="0" w:type="dxa"/>
            </w:tcMar>
            <w:vAlign w:val="center"/>
          </w:tcPr>
          <w:p>
            <w:pPr>
              <w:pStyle w:val="TableContents"/>
              <w:bidi w:val="0"/>
              <w:spacing w:before="0" w:after="283"/>
              <w:jc w:val="left"/>
              <w:rPr/>
            </w:pPr>
            <w:r>
              <w:rPr/>
              <w:t> </w:t>
            </w:r>
          </w:p>
        </w:tc>
      </w:tr>
      <w:tr>
        <w:trPr/>
        <w:tc>
          <w:tcPr>
            <w:tcW w:w="1061" w:type="dxa"/>
            <w:tcBorders/>
            <w:shd w:fill="CCEEFF" w:val="clear"/>
            <w:tcMar>
              <w:bottom w:w="0" w:type="dxa"/>
            </w:tcMar>
            <w:vAlign w:val="center"/>
          </w:tcPr>
          <w:p>
            <w:pPr>
              <w:pStyle w:val="TableContents"/>
              <w:bidi w:val="0"/>
              <w:spacing w:before="0" w:after="283"/>
              <w:jc w:val="left"/>
              <w:rPr>
                <w:sz w:val="20"/>
              </w:rPr>
            </w:pPr>
            <w:r>
              <w:rPr>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4" w:type="dxa"/>
            <w:tcBorders/>
            <w:shd w:fill="CCEEFF" w:val="clear"/>
            <w:tcMar>
              <w:bottom w:w="0" w:type="dxa"/>
            </w:tcMar>
            <w:vAlign w:val="center"/>
          </w:tcPr>
          <w:p>
            <w:pPr>
              <w:pStyle w:val="TableContents"/>
              <w:bidi w:val="0"/>
              <w:spacing w:before="0" w:after="283"/>
              <w:jc w:val="left"/>
              <w:rPr/>
            </w:pPr>
            <w:hyperlink w:anchor="ea029004701ex5-1.htm">
              <w:r>
                <w:rPr>
                  <w:rStyle w:val="InternetLink"/>
                  <w:sz w:val="20"/>
                </w:rPr>
                <w:t>Consent of Lowenstein Sandler LLP (contained in Exhibit 5.1)</w:t>
              </w:r>
            </w:hyperlink>
            <w:r>
              <w:rPr>
                <w:sz w:val="20"/>
              </w:rPr>
              <w:t xml:space="preserve"> </w:t>
            </w:r>
          </w:p>
        </w:tc>
      </w:tr>
      <w:tr>
        <w:trPr/>
        <w:tc>
          <w:tcPr>
            <w:tcW w:w="1061" w:type="dxa"/>
            <w:tcBorders/>
            <w:shd w:fill="FFFFFF" w:val="clear"/>
            <w:tcMar>
              <w:bottom w:w="0" w:type="dxa"/>
            </w:tcMar>
            <w:vAlign w:val="center"/>
          </w:tcPr>
          <w:p>
            <w:pPr>
              <w:pStyle w:val="TableContents"/>
              <w:bidi w:val="0"/>
              <w:spacing w:before="0" w:after="283"/>
              <w:jc w:val="left"/>
              <w:rPr/>
            </w:pPr>
            <w:r>
              <w:rPr/>
              <w:t> </w:t>
            </w:r>
          </w:p>
        </w:tc>
        <w:tc>
          <w:tcPr>
            <w:tcW w:w="9144" w:type="dxa"/>
            <w:gridSpan w:val="2"/>
            <w:tcBorders/>
            <w:shd w:fill="FFFFFF" w:val="clear"/>
            <w:tcMar>
              <w:bottom w:w="0" w:type="dxa"/>
            </w:tcMar>
            <w:vAlign w:val="center"/>
          </w:tcPr>
          <w:p>
            <w:pPr>
              <w:pStyle w:val="TableContents"/>
              <w:bidi w:val="0"/>
              <w:spacing w:before="0" w:after="283"/>
              <w:jc w:val="left"/>
              <w:rPr/>
            </w:pPr>
            <w:r>
              <w:rPr/>
              <w:t> </w:t>
            </w:r>
          </w:p>
        </w:tc>
      </w:tr>
      <w:tr>
        <w:trPr/>
        <w:tc>
          <w:tcPr>
            <w:tcW w:w="1061"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4" w:type="dxa"/>
            <w:tcBorders/>
            <w:shd w:fill="CCEEFF" w:val="clear"/>
            <w:tcMar>
              <w:bottom w:w="0" w:type="dxa"/>
            </w:tcMar>
            <w:vAlign w:val="center"/>
          </w:tcPr>
          <w:p>
            <w:pPr>
              <w:pStyle w:val="TableContents"/>
              <w:bidi w:val="0"/>
              <w:spacing w:before="0" w:after="283"/>
              <w:jc w:val="left"/>
              <w:rPr/>
            </w:pPr>
            <w:hyperlink w:anchor="ea029004701ex99-1.htm">
              <w:r>
                <w:rPr>
                  <w:rStyle w:val="InternetLink"/>
                  <w:sz w:val="20"/>
                </w:rPr>
                <w:t>Launch Press Release dated May 12, 2026, furnished herewith.</w:t>
              </w:r>
            </w:hyperlink>
            <w:r>
              <w:rPr>
                <w:sz w:val="20"/>
              </w:rPr>
              <w:t xml:space="preserve"> </w:t>
            </w:r>
          </w:p>
        </w:tc>
      </w:tr>
      <w:tr>
        <w:trPr/>
        <w:tc>
          <w:tcPr>
            <w:tcW w:w="1061" w:type="dxa"/>
            <w:tcBorders/>
            <w:shd w:fill="FFFFFF" w:val="clear"/>
            <w:tcMar>
              <w:bottom w:w="0" w:type="dxa"/>
            </w:tcMar>
            <w:vAlign w:val="center"/>
          </w:tcPr>
          <w:p>
            <w:pPr>
              <w:pStyle w:val="TableContents"/>
              <w:bidi w:val="0"/>
              <w:spacing w:before="0" w:after="283"/>
              <w:jc w:val="left"/>
              <w:rPr/>
            </w:pPr>
            <w:r>
              <w:rPr/>
              <w:t> </w:t>
            </w:r>
          </w:p>
        </w:tc>
        <w:tc>
          <w:tcPr>
            <w:tcW w:w="9144" w:type="dxa"/>
            <w:gridSpan w:val="2"/>
            <w:tcBorders/>
            <w:shd w:fill="FFFFFF" w:val="clear"/>
            <w:tcMar>
              <w:bottom w:w="0" w:type="dxa"/>
            </w:tcMar>
            <w:vAlign w:val="center"/>
          </w:tcPr>
          <w:p>
            <w:pPr>
              <w:pStyle w:val="TableContents"/>
              <w:bidi w:val="0"/>
              <w:spacing w:before="0" w:after="283"/>
              <w:jc w:val="left"/>
              <w:rPr/>
            </w:pPr>
            <w:r>
              <w:rPr/>
              <w:t> </w:t>
            </w:r>
          </w:p>
        </w:tc>
      </w:tr>
      <w:tr>
        <w:trPr/>
        <w:tc>
          <w:tcPr>
            <w:tcW w:w="1061" w:type="dxa"/>
            <w:tcBorders/>
            <w:shd w:fill="CCEEFF" w:val="clear"/>
            <w:tcMar>
              <w:bottom w:w="0" w:type="dxa"/>
            </w:tcMar>
            <w:vAlign w:val="center"/>
          </w:tcPr>
          <w:p>
            <w:pPr>
              <w:pStyle w:val="TableContents"/>
              <w:bidi w:val="0"/>
              <w:spacing w:before="0" w:after="283"/>
              <w:jc w:val="left"/>
              <w:rPr>
                <w:sz w:val="20"/>
              </w:rPr>
            </w:pPr>
            <w:r>
              <w:rPr>
                <w:sz w:val="20"/>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4" w:type="dxa"/>
            <w:tcBorders/>
            <w:shd w:fill="CCEEFF" w:val="clear"/>
            <w:tcMar>
              <w:bottom w:w="0" w:type="dxa"/>
            </w:tcMar>
            <w:vAlign w:val="center"/>
          </w:tcPr>
          <w:p>
            <w:pPr>
              <w:pStyle w:val="TableContents"/>
              <w:bidi w:val="0"/>
              <w:spacing w:before="0" w:after="283"/>
              <w:jc w:val="left"/>
              <w:rPr/>
            </w:pPr>
            <w:hyperlink w:anchor="ea029004701ex99-2.htm">
              <w:r>
                <w:rPr>
                  <w:rStyle w:val="InternetLink"/>
                  <w:sz w:val="20"/>
                </w:rPr>
                <w:t>Pricing Press Release dated May 13, 2026, furnished herewith.</w:t>
              </w:r>
            </w:hyperlink>
            <w:r>
              <w:rPr>
                <w:sz w:val="20"/>
              </w:rPr>
              <w:t xml:space="preserve"> </w:t>
            </w:r>
          </w:p>
        </w:tc>
      </w:tr>
      <w:tr>
        <w:trPr/>
        <w:tc>
          <w:tcPr>
            <w:tcW w:w="1061" w:type="dxa"/>
            <w:tcBorders/>
            <w:shd w:fill="FFFFFF" w:val="clear"/>
            <w:tcMar>
              <w:bottom w:w="0" w:type="dxa"/>
            </w:tcMar>
            <w:vAlign w:val="center"/>
          </w:tcPr>
          <w:p>
            <w:pPr>
              <w:pStyle w:val="TableContents"/>
              <w:bidi w:val="0"/>
              <w:spacing w:before="0" w:after="283"/>
              <w:jc w:val="left"/>
              <w:rPr/>
            </w:pPr>
            <w:r>
              <w:rPr/>
              <w:t> </w:t>
            </w:r>
          </w:p>
        </w:tc>
        <w:tc>
          <w:tcPr>
            <w:tcW w:w="9144" w:type="dxa"/>
            <w:gridSpan w:val="2"/>
            <w:tcBorders/>
            <w:shd w:fill="FFFFFF" w:val="clear"/>
            <w:tcMar>
              <w:bottom w:w="0" w:type="dxa"/>
            </w:tcMar>
            <w:vAlign w:val="center"/>
          </w:tcPr>
          <w:p>
            <w:pPr>
              <w:pStyle w:val="TableContents"/>
              <w:bidi w:val="0"/>
              <w:spacing w:before="0" w:after="283"/>
              <w:jc w:val="left"/>
              <w:rPr/>
            </w:pPr>
            <w:r>
              <w:rPr/>
              <w:t> </w:t>
            </w:r>
          </w:p>
        </w:tc>
      </w:tr>
      <w:tr>
        <w:trPr/>
        <w:tc>
          <w:tcPr>
            <w:tcW w:w="1061"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4"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70" w:type="dxa"/>
        <w:jc w:val="left"/>
        <w:tblInd w:w="0" w:type="dxa"/>
        <w:tblLayout w:type="fixed"/>
        <w:tblCellMar>
          <w:top w:w="0" w:type="dxa"/>
          <w:left w:w="0" w:type="dxa"/>
          <w:bottom w:w="0" w:type="dxa"/>
          <w:right w:w="0" w:type="dxa"/>
        </w:tblCellMar>
      </w:tblPr>
      <w:tblGrid>
        <w:gridCol w:w="1655"/>
        <w:gridCol w:w="320"/>
        <w:gridCol w:w="1895"/>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FUSE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Lynn Hutkin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Lynn Hutkin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9004701ex1-1.htm"/>
      <w:bookmarkStart w:id="26" w:name="ksea029004701ex11"/>
      <w:bookmarkEnd w:id="25"/>
      <w:bookmarkEnd w:id="26"/>
      <w:r>
        <w:rPr>
          <w:rFonts w:ascii="Times New Roman;Times;Serif" w:hAnsi="Times New Roman;Times;Serif"/>
          <w:b/>
          <w:i w:val="false"/>
          <w:caps w:val="false"/>
          <w:smallCaps w:val="false"/>
          <w:sz w:val="20"/>
        </w:rPr>
        <w:t>Exhibit 1.1</w:t>
      </w:r>
      <w:r>
        <w:br w:type="page"/>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Fuse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 par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Wells Fargo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33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Street,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Fuse Inc., a New Jersey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to sell to the several underwriters named in Schedule I hereto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for whom you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are acting as Representatives, an aggregate of 1,500,000 shares of Class B common stock, $0.10 par value (“</w:t>
      </w:r>
      <w:r>
        <w:rPr>
          <w:rFonts w:ascii="Times New Roman;Times;Serif" w:hAnsi="Times New Roman;Times;Serif"/>
          <w:b w:val="false"/>
          <w:i w:val="false"/>
          <w:caps w:val="false"/>
          <w:smallCaps w:val="false"/>
          <w:sz w:val="20"/>
          <w:u w:val="single"/>
        </w:rPr>
        <w:t>Class B Common Stock</w:t>
      </w:r>
      <w:r>
        <w:rPr>
          <w:rFonts w:ascii="Times New Roman;Times;Serif" w:hAnsi="Times New Roman;Times;Serif"/>
          <w:b w:val="false"/>
          <w:i w:val="false"/>
          <w:caps w:val="false"/>
          <w:smallCaps w:val="false"/>
          <w:sz w:val="20"/>
        </w:rPr>
        <w:t>”) of the Company (said shares to be issued and sold by the Company being hereinafter called the “</w:t>
      </w:r>
      <w:r>
        <w:rPr>
          <w:rFonts w:ascii="Times New Roman;Times;Serif" w:hAnsi="Times New Roman;Times;Serif"/>
          <w:b w:val="false"/>
          <w:i w:val="false"/>
          <w:caps w:val="false"/>
          <w:smallCaps w:val="false"/>
          <w:sz w:val="20"/>
          <w:u w:val="single"/>
        </w:rPr>
        <w:t>Underwritten Securities</w:t>
      </w:r>
      <w:r>
        <w:rPr>
          <w:rFonts w:ascii="Times New Roman;Times;Serif" w:hAnsi="Times New Roman;Times;Serif"/>
          <w:b w:val="false"/>
          <w:i w:val="false"/>
          <w:caps w:val="false"/>
          <w:smallCaps w:val="false"/>
          <w:sz w:val="20"/>
        </w:rPr>
        <w:t>”). The Company also proposes to grant to the Underwriters an option to purchase up to 225,000 additional shares of Class B Common Stock (the “</w:t>
      </w:r>
      <w:r>
        <w:rPr>
          <w:rFonts w:ascii="Times New Roman;Times;Serif" w:hAnsi="Times New Roman;Times;Serif"/>
          <w:b w:val="false"/>
          <w:i w:val="false"/>
          <w:caps w:val="false"/>
          <w:smallCaps w:val="false"/>
          <w:sz w:val="20"/>
          <w:u w:val="single"/>
        </w:rPr>
        <w:t>Option Securities;</w:t>
      </w:r>
      <w:r>
        <w:rPr>
          <w:rFonts w:ascii="Times New Roman;Times;Serif" w:hAnsi="Times New Roman;Times;Serif"/>
          <w:b w:val="false"/>
          <w:i w:val="false"/>
          <w:caps w:val="false"/>
          <w:smallCaps w:val="false"/>
          <w:sz w:val="20"/>
        </w:rPr>
        <w:t>” the Option Securities, together with the Underwritten Securities, being hereinafter called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To the extent there are no additional Underwriters listed on Schedule I other than you, the term Representatives as used herein shall mean you, as Underwriters, and the terms Representatives and Underwriters shall mean either the singular or plural as the context requires. The use of the neuter in this underwriting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include the feminine and masculine wherever appropriate.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registration statement referred to in paragraph 1(a) hereof, including the exhibits, schedules and financial statements and any prospectus supplement relating to the Securities that is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pursuant to Rule 424(b) under the Securities Act of 1933, as amended, and the rules and regulations promulgated thereunder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deemed part of such registration statement pursuant to Rule 430B under the Securities Act, as amended on each Effective Date, and, in the event any post-effective amendment thereto becomes effective prior to the Closing Date (as defined in Section 3 hereof), shall also mean such registration statement as so amended;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each date and time that the Registration Statement and any post-effective amendment or amendments thereto became or becomes effective;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means the base prospectus referred to in paragraph 1(a) hereof contained in the Registration Statement at the date and time that this Agreement is executed and delivered by the parties hereto (the “</w:t>
      </w:r>
      <w:r>
        <w:rPr>
          <w:rFonts w:ascii="Times New Roman;Times;Serif" w:hAnsi="Times New Roman;Times;Serif"/>
          <w:b w:val="false"/>
          <w:i w:val="false"/>
          <w:caps w:val="false"/>
          <w:smallCaps w:val="false"/>
          <w:sz w:val="20"/>
          <w:u w:val="single"/>
        </w:rPr>
        <w:t>Execution Time</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means any preliminary prospectus supplement to the Base Prospectus referred to in paragraph 1(a) hereof which is used prior to the filing of the Final Prospectus, together with the Base Prospectus; and the “</w:t>
      </w:r>
      <w:r>
        <w:rPr>
          <w:rFonts w:ascii="Times New Roman;Times;Serif" w:hAnsi="Times New Roman;Times;Serif"/>
          <w:b w:val="false"/>
          <w:i w:val="false"/>
          <w:caps w:val="false"/>
          <w:smallCaps w:val="false"/>
          <w:sz w:val="20"/>
          <w:u w:val="single"/>
        </w:rPr>
        <w:t>Final Prospectus</w:t>
      </w:r>
      <w:r>
        <w:rPr>
          <w:rFonts w:ascii="Times New Roman;Times;Serif" w:hAnsi="Times New Roman;Times;Serif"/>
          <w:b w:val="false"/>
          <w:i w:val="false"/>
          <w:caps w:val="false"/>
          <w:smallCaps w:val="false"/>
          <w:sz w:val="20"/>
        </w:rPr>
        <w:t>” means the prospectus supplement relating to the Securities that is first filed pursuant to Rule 424(b) under the Securities Act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after the Execution Time, together with the Base Prospectus.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herein to the Registration Statement, the Base Prospectus, any Preliminary Prospectus or the Final Prospectus shall be deemed to refer to and include the documents incorporated by reference therein pursuant to Item 12 of Form S-3 which were filed under the Securities Exchange Act of 1934, as amended, and the rules and regulations promulgated thereunder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on or before the Effective Date of the Registration Statement or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 Preliminary Prospectus or the Final Prospectus, as the case may be, deemed to be incorporated therein by reference.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w:t>
      </w:r>
      <w:r>
        <w:rPr>
          <w:rFonts w:ascii="Times New Roman;Times;Serif" w:hAnsi="Times New Roman;Times;Serif"/>
          <w:b w:val="false"/>
          <w:i w:val="false"/>
          <w:caps w:val="false"/>
          <w:smallCaps w:val="false"/>
          <w:sz w:val="20"/>
          <w:u w:val="single"/>
        </w:rPr>
        <w:t>Disclosure Package</w:t>
      </w:r>
      <w:r>
        <w:rPr>
          <w:rFonts w:ascii="Times New Roman;Times;Serif" w:hAnsi="Times New Roman;Times;Serif"/>
          <w:b w:val="false"/>
          <w:i w:val="false"/>
          <w:caps w:val="false"/>
          <w:smallCaps w:val="false"/>
          <w:sz w:val="20"/>
        </w:rPr>
        <w:t>” shall mean (i) the Base Prospectus, (ii) the Preliminary Prospectus used most recently prior to the Execution Time, (iii) the pricing information set forth in Schedule II hereto (iv) any issuer free writing prospectus, as defined in Rule 433 under the Securities Act (an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identified in Schedule III hereto and (v) any other free writing prospectus, as defined in Rule 405 under the Securities Act (a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that the parties hereto shall hereafter expressly agree in writing to treat as part of the Disclosure Package.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represents and warrants to, and agrees with, each Underwriter as set forth below in this Section 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meets the requirements for use of Form S-3 under the Securities Act and has prepared and filed with the SEC an automatic shelf registration statement, as defined in Rule 405 under the Securities Act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(File No. 333-295813) on Form S-3, including a related Base Prospectus, for the registration of the offering and sale of the Securities under the Securities Act. Such Registration Statement, including any amendments thereto filed prior to the Execution Time, became effective upon filing. The Company may have filed with the SEC, as part of an amendment to the Registration Statement or pursuant to Rule 424(b), preliminary prospectus supplements relating to the Securities, each of which has previously been furnished to you. The Company will file with the SEC a final prospectus supplement relating to the Securities in accordance with Rule 424(b) after the Execution Time. As filed, such final prospectus supplement shall contain all information required by the Securities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as the Company has advised you, prior to the Execution Time, will be included or made therein. The Registration Statement, at the Execution Time, meets the requirements set forth in Rule 415(a)(1)(x) under the Securities Act. The initial Effective Date of the Registration Statement was not earlier than the date three years before the Execution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each Effective Date, the Registration Statement did, and when the Final Prospectus is first filed in accordance with Rule 424(b) and on the Closing Date (as defined herein) and on any date on which Option Securities are purchased, if such date is not the Closing Date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xml:space="preserve">”), the Final Prospectus (and any supplement thereto) will, comply in all material respects with the applicable requirements of the Securities Act and the Exchange Act and the respective rules thereunder; on each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makes no representations or warranties as to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 it being understood and agreed that the only such information furnished by or on behalf of any Underwriter consists of the information described as such in Section 8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The Disclosure Package and the price to the public, the number of Underwritten Securities and the number of Option Securities to be included on the cover page of the Final Prospectus, when taken together as a whole, and (ii) each electronic road show, when taken together as a whole with the Disclosure Package and the price to the public, the number of Underwritten Securities and the number of Option Securities to be included on the cover page of the Final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Representatives specifically for use therein, it being understood and agreed that the only such information furnished by or on behalf of any Underwriter consists of the information described as such in Section 8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At the time of filing the Registration Statement, (ii) at the time of the most recent amendment thereto for the purposes of complying with Section 10(a)(3) of the Securities Act (whether such amendment was by post-effective amendment, incorporated report filed pursuant to Sections 13 or 15(d) of the Exchange Act or form of prospectus), (iii) at the time the Company or any person acting on its behalf (within the meaning, for this clause only, of Rule 163(c)) made any offer relating to the Securities in reliance on the exemption in Rule 163, and (iv) at the Execution Time (with such date being used as the determination date for purposes of this clause (iv)), the Company was or is (as the case may be) a “well-known seasoned issuer” as defined in Rule 405. The Company agrees to pay the fees required by the SEC relating to the Securities within the time required by Rule 456(b)(1) without regard to the proviso therein and otherwise in accordance with Rules 456(b) and 457(r).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 At the earliest time after the filing of the Registration Statement that the Company or another offering participant made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 (within the meaning of Rule 164(h)(2)) under the Securities Act and (ii) as of the Execution Time (with such date being used as the determination date for purposes of this clause (ii)), the Company was not and is not an Ineligible Issuer (as defined in Rule 405 under the Securities Act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without taking account of any determination by the SEC pursuant to Rule 405 that it is not necessary that the Company be considered an Ineligible Issuer.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Issuer Free Writing Prospectus does not include any information that conflicts with the information contained in the Registration Statement, including any document incorporated by reference therein and any prospectus supplement deemed to be a part thereof that has not been superseded or modified. The foregoing sentence does not apply to statements in or omissions from any Issuer Free Writing Prospectus based upon and in conformity with written information furnished to the Company by or on behalf of any Underwriter through the Representatives specifically for use therein, it being understood and agreed that the only such information furnished by or on behalf of any Underwriter consists of the information described as such in Section 8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interactive data in the eXtensible Business Reporting Language (“</w:t>
      </w:r>
      <w:r>
        <w:rPr>
          <w:rFonts w:ascii="Times New Roman;Times;Serif" w:hAnsi="Times New Roman;Times;Serif"/>
          <w:b w:val="false"/>
          <w:i w:val="false"/>
          <w:caps w:val="false"/>
          <w:smallCaps w:val="false"/>
          <w:sz w:val="20"/>
          <w:u w:val="single"/>
        </w:rPr>
        <w:t>XBRL</w:t>
      </w:r>
      <w:r>
        <w:rPr>
          <w:rFonts w:ascii="Times New Roman;Times;Serif" w:hAnsi="Times New Roman;Times;Serif"/>
          <w:b w:val="false"/>
          <w:i w:val="false"/>
          <w:caps w:val="false"/>
          <w:smallCaps w:val="false"/>
          <w:sz w:val="20"/>
        </w:rPr>
        <w:t>”) included as an exhibit to the Registration Statement fairly presents the information called for in all material respects and has been prepared in accordance with the SEC’s rules and guidelines applicable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of the Company and its subsidiaries has been duly incorporated or organized, as applicable, and is validly existing as a corporation or limited liability company, as applicable, in good standing under the laws of the jurisdiction in which it is chartered or organized, as applicable, with full corporate or limited liability company, as applicable, power and authority to own or lease, as the case may be, and to operate its properties and conduct its business as described in the Disclosure Package and the Final Prospectus, and is duly qualified to do business as a foreign corporation or limited liability company, as applicable. Each of the Company and its subsidiaries is in good standing under the laws of each jurisdiction which requires such qualification, except where the failure to so qualify or be in good standing would not reasonably be expected, individually or in the aggregate, to have a Material Adverse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the outstanding shares of capital stock or membership interests, as applicable, of each subsidiary of the Company have been duly and validly authorized and issued and are fully paid and non-assessable (to the extent applicable under the relevant jurisdiction of incorporation or organization), and, except as otherwise set forth in the Disclosure Package and the Final Prospectus, all outstanding shares of capital stock or membership interests, as applicable, of the subsidiaries are owned by the Company either directly or through wholly owned subsidiaries free and clear of any perfected security interest or any other security interests, claims, liens or encumbrances.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franchise, contract or other document of a character required to be described in the Registration Statement or Final Prospectus, or to be filed as an exhibit thereto, which is not described or filed as required (and the Preliminary Prospectus contains in all material respects the same description of the foregoing matters contained in the Final Prospectus); and the statements in the Registration Statement under the heading “Description of Capital Stock” and in the Preliminary Prospectus and the Final Prospectus under the heading “Material U.S. Federal Income Tax Consequences for Investors in Common Stock”, insofar as such statements summarize legal matters, agreements, documents or proceedings discussed therein, are accurate and fair summaries of such legal matters, agreements, documents or proceedings in all material respects.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This Agreement has been duly authorized, executed and delivered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is not and, after giving effect to the offering and sale of the Securities and the application of the proceeds thereof as described in the Disclosure Package and the Final Prospectus, will not be an “investment company” as defined in the Investment Company Act of 1940,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consent, approval, authorization, filing with or order of any court or governmental agency or body is required in connection with the transactions contemplated herein, except such as have been obtained under the Securities Act and such as may be required under the blue sky laws of any jurisdiction in connection with the purchase and distribution of the Securities by the Underwriters in the manner contemplated herein and in the Disclosure Package and the Final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None of the issue and sale of the Securities,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by-laws or other organizational documents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for any such breach, violation or imposition as would not reasonably be expected, individually or in the aggregate,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No holders of securities of the Company have rights to the registration of such securities under the Registration Statement and the holders of outstanding capital stock of the Company are not entitled to statutory preemptive or other similar contractual rights to subscribe for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consolidated historical financial statements and schedules of the Company and its consolidated subsidiaries included in the Preliminary Prospectus, the Final Prospectus and the Registration Statement present fairly in all material respects the financial condition, results of operations and cash flows of the Company as of the dates and for the periods indicated, comply as to form in all material respects with the applicable accounting requirements of the Securities Act and have been prepared in conformity with generally accepted accounting principles applied on a consistent basis throughout the periods involved (except as otherwise noted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 action, suit or proceeding by or before any court or governmental agency, authority or body or any arbitrator involving the Company or any of its subsidiaries or its or their property is pending or, to the knowledge of the Company, threatened that (i) would reasonably be expected to have a material adverse effect on the performance of this Agreement or the consummation of any of the transactions contemplated hereby or (ii) would reasonably be expected to have a material adverse effect on the condition (financial or otherwise), prospects, earnings, business or properties of the Company and its subsidiaries, taken as a whole, whether or not arising from transactions in the ordinary course of business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except as set forth in or contemplated in the Disclosure Package and the Final Prospectus (exclusive of any amendment or supplement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Each of the Company and each of its subsidiaries owns or leases all such properties as are necessary to the conduct of its operations as presently conducted.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Company and its subsidiaries have good and marketable title in fee simple to all real property owned by any of them and good title to all other properties and assets owned by any of them, in each case, free and clear of all mortgages, pledges, claims, liens, security interests, restrictions or encumbrances of any kind except such as (a) are not, individually or in the aggregate, material to the Company and its subsidiaries taken as a whole, are not required to be disclosed in the Disclosure Package or the Final Prospectus, do not, individually or in the aggregate, materially affect the value of such property and do not interfere with the use made of such property by the Company or any of its subsidiaries, or (b) would not, singly or in the aggregate, result in a Material Adverse Effect; and neither the Company nor any of its subsidiaries has received any notice from any federal, state, county or municipal government of plans to exercise any power of eminent domain affecting any real property owned by any of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All real property, buildings and other improvements, and all equipment and other property held under lease or sublease by the Company or any of its subsidiaries is held by them under valid, subsisting and enforceable leases or subleases, as the case may be, with, solely in the case of leases or subleases relating to real property, buildings or other improvements, such exceptions as are not material and do not interfere with the use made or proposed to be made of such property and buildings or other improvements by the Company and its subsidiaries, and all such leases and subleases are in full force and effect; and neither the Company nor any of its subsidiaries has received any notice of any claim of any sort that has been asserted by anyone adverse to the rights of the Company or any of its subsidiaries under any of the leases or subleases mentioned above or affecting or questioning the rights of the Company or any of its subsidiaries to the continued possession of the leased or subleased premises or to the continued use of the leased or subleased equipment or other property except for such claims of which, if successfully asserted against the Company or any of its subsidiaries, would not, individually or in the aggregate, result in a Material Adverse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Neither the Company nor any subsidiary is in violation or default of (i) any provision of its charter, bylaws or other organizational documents,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for any such violation or default as would not reasonably be expected, individually or in the aggregate, to have a Material Adverse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Grant Thornton LLP, who have certified certain financial statements of the Company and its consolidated subsidiaries and delivered their report with respect to the audited consolidated financial statements and schedules included in the Disclosure Package and the Final Prospectus, and Deloitte LLP are independent public accountants with respect to the Company within the meaning of the Securities Act and the applicable published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There are no transfer taxes or other similar fees or charges under Federal law or the laws of any state, or any political subdivision thereof, required to be paid in connection with the execution and delivery of this Agreement or the issuance by the Company or sale by the Company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and each of its subsidiaries have filed all tax returns that are required to be filed or have requested extensions thereof (except in any case in which the failure so to file would not have a Material Adverse Effect, except as set forth in or contemplated in the Disclosure Package and the Final Prospectus (exclusive of any amendment or supplement thereto)) and have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Final Prospectus (exclusive of any amendment or supplement thereto). No labor problem or dispute with the employees of the Company or any of its subsidiaries exists or, to the knowledge of the Company, is threatened or imminent, and the Company is not aware of any existing or imminent labor disturbance by the employees of any of its or its subsidiaries’ principal suppliers, contractors or customers except as set forth in or contemplated in the Disclosure Package and the Final Prospectus (exclusive of any amendment or supplement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Company and each of its subsidiaries are insured by insurers of recognized financial responsibility against such losses and risks and in such amounts as the Company reasonably believes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Disclosure Package and the Final Prospectus (exclusive of any amendment or supplement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No subsidiary of the Company is currently prohibited, directly or indirectly, under any agreement or other instrument to which it is a party or is subject, from paying any dividends to the Company, from making any other distribution on such subsidiary’s capital stock or membership interests, as applicable, from repaying to the Company any loans or advances to such subsidiary from the Company or from transferring any of such subsidiary’s property or assets to the Company or any other subsidiary of the Company, except as described in or contemplated by the Disclosure Package and the Final Prospectus (exclusive of any amendment or supplement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The Company and its subsidiaries possess all licenses, certificates, permits and other authorizations issued by all applicable authorities necessary to conduct their respective businesses (collectively,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where the failure to possess any such license, certificate, permit or other authorization would not reasonably be expected to have a Material Adverse Effect, and neither the Company nor any such subsidiary has received any notice of proceedings relating to the revocation or modification of any such Permit which, singly or in the aggregate, if the subject of an unfavorable decision, ruling or finding, would have a Material Adverse Effect, except as set forth in or contemplated in the Disclosure Package and the Final Prospectus (exclusive of any amendment or supplement thereto). Except as would not, individually or in the aggregate, have a Material Adverse Effect, neither the Company nor any of its subsidiaries is in violation or default of any Permit, or has any reason to believe that any such Permit will not be renewed in the ordinary course and all Permits are valid and in full 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Company and its subsidiaries, taken as a whole,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XBRL included or incorporated by reference in the Registration Statement, the Preliminary Prospectus and the Final Prospectus is in compliance with the SEC’s published rules, regulations and guidelines applicable thereto. Other than as set forth in the Disclosure Package and the Final Prospectus, the Company and its subsidiaries’ internal controls over financial reporting are effective and the Company and its subsidiaries are not aware of any material weakness in their internal controls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The Company and its subsidiaries maintain “disclosure controls and procedures” (as such term is defined in Rule 13a-15(e) under the Exchange Act); other than as set forth in the Disclosure Package and the Final Prospectus, such disclosure controls and procedures are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Company has not taken, directly or indirectly (without giving effect to the activities of the Underwriters),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where such non-compliance with Environmental Laws, failure to receive required permits, licenses or other approvals, or liability would not, individually or in the aggregate, have a Material Adverse Effect, except as set forth in or contemplated in the Disclosure Package and the Final Prospectus (exclusive of any amendment or supplement thereto). Except as set forth in the Disclosure Package and the Final Prospectus, neither the Company nor any of the subsidiaries has been named as a “potentially responsible party” under the Comprehensive Environmental Response, Compensation, and Liability Act of 1980,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in or contemplated in the Disclosure Package and the Final Prospectus (exclusive of any amendment or supplement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None of the following events has occurred or exists: (i) a failure to fulfill the obligations, if any, under the minimum funding standards of Section 302 of the United States Employee Retirement Income Security Act of 1974, as amended, and the regulations and published interpretations thereunder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could have a Material Adverse Effect; or (iii) any breach of any contractual obligation, or any violation of law or applicable qualification standards, with respect to the employment or compensation of employees by the Company or any of its subsidiaries that could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Accounting Standards Codification No. 715 or subsequent recodification thereof, as applicable) of the Company and its subsidiaries compared to the amount of such obligations in the most recently completed fiscal year of the Company and its subsidiaries; (iii) any event or condition giving rise to a liability under Title IV of ERISA that could have a Material Adverse Effect; or (iv) the filing of a claim that could result in material liability by one or more employees or former employees of the Company or any of its subsidiaries related to their employment that could have a Material Adverse Effect. For purposes of this paragraph, the term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 plan (within the meaning of Section 3(3) of ERISA) subject to Title IV of ERISA with respect to which the Company or any of its subsidiaries may have any direct or contingent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There is and has been no failure on the part of the Company and any of the Company’s directors or officers, in their capacities as such, to comply with any provision of the Sarbanes-Oxley Act of 2002, as amended, and the rules and regulations promulgated in connection thereunder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including Section 402 relating to loans and Sections 302 and 906 relating to certifications.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Neither the Company nor any of its subsidiaries, or any director, officer, or employee, nor, to the knowledge of the Company, any agent, affiliate or other person acting on behalf of the Company or any of its subsidiaries is aware of or has taken any action, (i) directly or indirectly, that could result in a violation or a sanction for violation by such persons of the Foreign Corrupt Practices Act of 1977 or the U.K. Bribery Act 2010, each as may be amended, or similar law of any other relevant jurisdiction, or the rules or regulations thereunder (collectively, the “</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or (ii)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The Company and its subsidiaries have instituted and maintain policies and procedures to ensure compliance with applicable anti-corruption laws. No part of the proceeds of the offering will be used, directly or indirectly, in violation of the Anti-Corruption Laws, each as may be amended, or similar law of any other relevant jurisdiction, or the rules or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Neither the Company, any of its subsidiaries, or any of their officers or directors, nor, to the knowledge of the Company, any employee, agent or affiliate of the Company or any of its subsidiaries (i) is, or is controlled or 50% or more owned in the aggregate by or is acting on behalf of, one or more individuals or entities that are currently the target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His Majesty’s Treasury of the United Kingdom)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and such persons, “</w:t>
      </w:r>
      <w:r>
        <w:rPr>
          <w:rFonts w:ascii="Times New Roman;Times;Serif" w:hAnsi="Times New Roman;Times;Serif"/>
          <w:b w:val="false"/>
          <w:i w:val="false"/>
          <w:caps w:val="false"/>
          <w:smallCaps w:val="false"/>
          <w:sz w:val="20"/>
          <w:u w:val="single"/>
        </w:rPr>
        <w:t>Sanctioned Persons</w:t>
      </w:r>
      <w:r>
        <w:rPr>
          <w:rFonts w:ascii="Times New Roman;Times;Serif" w:hAnsi="Times New Roman;Times;Serif"/>
          <w:b w:val="false"/>
          <w:i w:val="false"/>
          <w:caps w:val="false"/>
          <w:smallCaps w:val="false"/>
          <w:sz w:val="20"/>
        </w:rPr>
        <w:t>” and each such person, a “</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(ii) is located, organized or resident in a country or territory that is, or whose government is, the target of Sanctions that broadly prohibit dealings with that country or territory (currently, Cuba, Iran, North Korea, the Crimea, Kherson and Zaporizhzhia regions of Ukraine, the so-called Donetsk People’s Republic, the so-called Luhansk People’s Republic, and Syria (with respect to Syria only until July 1, 2025)) (collectively, “</w:t>
      </w:r>
      <w:r>
        <w:rPr>
          <w:rFonts w:ascii="Times New Roman;Times;Serif" w:hAnsi="Times New Roman;Times;Serif"/>
          <w:b w:val="false"/>
          <w:i w:val="false"/>
          <w:caps w:val="false"/>
          <w:smallCaps w:val="false"/>
          <w:sz w:val="20"/>
          <w:u w:val="single"/>
        </w:rPr>
        <w:t>Sanctioned Countries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or (iii) will, directly or indirectly, use the proceeds of this offering, or lend, contribute or otherwise make available such proceeds to any subsidiary, joint venture partner or other individual or entity to fund or facilitate any activities or business of or with any Sanctioned Person or in any Sanctioned Country, or otherwise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Neither the Company nor any of its subsidiaries has engaged in any dealings or transactions with or for the benefit of a Sanctioned Person, or with or in a Sanctioned Country, since April 24, 2019, nor does the Company or any of its subsidiaries have any plans to engage in dealings or transactions with or for the benefit of a Sanctioned Person, or with or in a Sanctioned Country.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Neither the Company, nor any of its subsidiaries is a “covered foreign person” as that term is used in the Outbound Investment Rules. Neither the Company nor any of its subsidiaries currently engages, or has any present intention to engage in the future, directly or indirectly, in a “covered activity” or a “covered transaction”, as each such term is defined in the Outbound Investment Rules, any activity or transaction that would constitute a “covered activity” or a “covered transaction”, as each such term is defined in the Outbound Investment Rules, if the Company were a U.S. Person or any other activity that would cause the Underwriters to be in violation of the Outbound Investment Rules or cause the Underwriters to be legally prohibited by the Outbound Investment Rules from performing under this Agreement. For the purpose of this Agreement, “Outbound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§850.202 et seq.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The Company and its subsidiaries own, possess, license or otherwise have the right to use, on reasonable terms, all patents, patent applications, trademarks and service marks, trademark and service mark registrations, trade names, copyrights, inventions, trade secrets, technology, know-how and other intellectual property (collectively, the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necessary for the conduct of the Company’s business as now conducted and as proposed in the Disclosure Package and Prospectus to be conducted. Except as set forth in the Disclosure Package and the Final Prospectus under the caption “Business—Intellectual Property,” (a) there are no rights of third parties in or to any such Intellectual Property that is owned or purported to be owned by the Company or its subsidiaries (other than non-exclusive licenses granted by the Company or its subsidiaries to customers in the ordinary course of business); (b) there is no material infringement, misappropriation or other violation by third parties of any such Intellectual Property; (c) there is no pending or, to the knowledge of the Company, threatened action, suit, proceeding or claim by others challenging the Company’s or any of its subsidiaries’ rights in or to any such Intellectual Property, and the Company is unaware of any facts which would form a reasonable basis for any such claim; (d) there is no pending or, to the knowledge of the Company, threatened action, suit, proceeding or claim by others challenging the validity or scope of any such Intellectual Property, and the Company is unaware of any facts which would form a reasonable basis for any such claim; (e) there is no pending or, to the knowledge of the Company, threatened action, suit, proceeding or claim by others that the Company infringes, misappropriates or otherwise violates any Intellectual Property of others, and the Company is unaware of any fact which would form a reasonable basis for any such claim; (f) there is no U.S. patent or published U.S. patent application which contains claims that dominate or may dominate any Intellectual Property described in the Disclosure Package and the Final Prospectus as being owned by or licensed to the Company or its subsidiaries or that interferes with the issued or pending claims of any such Intellectual Property; (g) there is no prior art of which the Company is aware that may render any U.S. patent owned or otherwise held by the Company or its subsidiaries invalid or any U.S. patent application owned or held by the Company or its subsidiaries un-patentable which has not been disclosed to the U.S. Patent and Trademark Office; (h) the Company and its subsidiaries have used commercially reasonable efforts to maintain the confidentiality of all trade secrets and material confidential information owned or held by the Company or its subsidiaries; (i) there are no settlements, covenants not to sue, consents, judgments, or orders or similar obligations that restrict the rights of the Company or its subsidiaries to use and otherwise exploit any such Intellectual Property in any manner; and (j) the information technology systems owned or used by the Company and its subsidiaries (“</w:t>
      </w:r>
      <w:r>
        <w:rPr>
          <w:rFonts w:ascii="Times New Roman;Times;Serif" w:hAnsi="Times New Roman;Times;Serif"/>
          <w:b w:val="false"/>
          <w:i w:val="false"/>
          <w:caps w:val="false"/>
          <w:smallCaps w:val="false"/>
          <w:sz w:val="20"/>
          <w:u w:val="single"/>
        </w:rPr>
        <w:t>Company IT Systems</w:t>
      </w:r>
      <w:r>
        <w:rPr>
          <w:rFonts w:ascii="Times New Roman;Times;Serif" w:hAnsi="Times New Roman;Times;Serif"/>
          <w:b w:val="false"/>
          <w:i w:val="false"/>
          <w:caps w:val="false"/>
          <w:smallCaps w:val="false"/>
          <w:sz w:val="20"/>
        </w:rPr>
        <w:t>”) are sufficient for the operation of the Company’s business as now conducted and as proposed in the Disclosure Package and Prospectus to be conducted.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The statements incorporated by reference in the Preliminary Prospectus and the Final Prospectus from the Company’s Annual Report on Form 10-K for the year ended December 31, 2025 under the captions “Risk Factors—Legal, Tax and Regulatory Risks” and “Business,” insofar as such statements summarize legal matters, agreements, documents, or proceedings discussed therein, are accurate and fair summaries of such legal matters, agreements, documents or proceedings in all material respects.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Except as would not reasonably be expected to have a Material Adverse Effect on the Company and its subsidiaries, (i) the Company and its subsidiaries use and have used any and all software and other materials distributed under a “free,” “open source,” or similar licensing model (“</w:t>
      </w:r>
      <w:r>
        <w:rPr>
          <w:rFonts w:ascii="Times New Roman;Times;Serif" w:hAnsi="Times New Roman;Times;Serif"/>
          <w:b w:val="false"/>
          <w:i w:val="false"/>
          <w:caps w:val="false"/>
          <w:smallCaps w:val="false"/>
          <w:sz w:val="20"/>
          <w:u w:val="single"/>
        </w:rPr>
        <w:t>Open Source Software</w:t>
      </w:r>
      <w:r>
        <w:rPr>
          <w:rFonts w:ascii="Times New Roman;Times;Serif" w:hAnsi="Times New Roman;Times;Serif"/>
          <w:b w:val="false"/>
          <w:i w:val="false"/>
          <w:caps w:val="false"/>
          <w:smallCaps w:val="false"/>
          <w:sz w:val="20"/>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distributed at no charge.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(i) The Company and each of its subsidiaries have complied and are presently in compliance, each in all material respects,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disclosure or other processing by the Company or any of its subsidiaries of personal, personally identifiable, household, sensitive, confidential or regulated data or information (“</w:t>
      </w:r>
      <w:r>
        <w:rPr>
          <w:rFonts w:ascii="Times New Roman;Times;Serif" w:hAnsi="Times New Roman;Times;Serif"/>
          <w:b w:val="false"/>
          <w:i w:val="false"/>
          <w:caps w:val="false"/>
          <w:smallCaps w:val="false"/>
          <w:sz w:val="20"/>
          <w:u w:val="single"/>
        </w:rPr>
        <w:t>Data Security Obligations</w:t>
      </w:r>
      <w:r>
        <w:rPr>
          <w:rFonts w:ascii="Times New Roman;Times;Serif" w:hAnsi="Times New Roman;Times;Serif"/>
          <w:b w:val="false"/>
          <w:i w:val="false"/>
          <w:caps w:val="false"/>
          <w:smallCaps w:val="false"/>
          <w:sz w:val="20"/>
        </w:rPr>
        <w:t>”, and such data, “</w:t>
      </w:r>
      <w:r>
        <w:rPr>
          <w:rFonts w:ascii="Times New Roman;Times;Serif" w:hAnsi="Times New Roman;Times;Serif"/>
          <w:b w:val="false"/>
          <w:i w:val="false"/>
          <w:caps w:val="false"/>
          <w:smallCaps w:val="false"/>
          <w:sz w:val="20"/>
          <w:u w:val="single"/>
        </w:rPr>
        <w:t>Data</w:t>
      </w:r>
      <w:r>
        <w:rPr>
          <w:rFonts w:ascii="Times New Roman;Times;Serif" w:hAnsi="Times New Roman;Times;Serif"/>
          <w:b w:val="false"/>
          <w:i w:val="false"/>
          <w:caps w:val="false"/>
          <w:smallCaps w:val="false"/>
          <w:sz w:val="20"/>
        </w:rPr>
        <w:t>”); (ii) the Company has not received any notification of or complaint regarding, and is unaware of any other facts that, individually or in the aggregate, would reasonably indicate, non-compliance with any Data Security Obligation; and (iii) there is no action, suit or proceeding by or before any court or governmental agency, authority or body pending or to the Company’s knowledge, threatened relating to any Breach (as defined below) and/or alleging non-compliance with any Data Security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The Company and each of its subsidiaries have implemented and maintained commercially reasonable technical and organizational measures to protect the Company IT Systems and Data used in connection with the operation of the Company’s and its subsidiaries’ businesses. Without limiting the foregoing, the Company and its subsidiaries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to protect against and prevent a breach, unauthorized, unlawful or accidental destruction, distribution, use, access, disablement, modification of, or any loss, misappropriation, compromise, and/or misuse of, or relating to any Company IT Systems or Data used in connection with the operation of the Company’s and its subsidiaries’ businesses (“</w:t>
      </w:r>
      <w:r>
        <w:rPr>
          <w:rFonts w:ascii="Times New Roman;Times;Serif" w:hAnsi="Times New Roman;Times;Serif"/>
          <w:b w:val="false"/>
          <w:i w:val="false"/>
          <w:caps w:val="false"/>
          <w:smallCaps w:val="false"/>
          <w:sz w:val="20"/>
          <w:u w:val="single"/>
        </w:rPr>
        <w:t>Breach</w:t>
      </w:r>
      <w:r>
        <w:rPr>
          <w:rFonts w:ascii="Times New Roman;Times;Serif" w:hAnsi="Times New Roman;Times;Serif"/>
          <w:b w:val="false"/>
          <w:i w:val="false"/>
          <w:caps w:val="false"/>
          <w:smallCaps w:val="false"/>
          <w:sz w:val="20"/>
        </w:rPr>
        <w:t>”). There has been no material Breach, and the Company and its subsidiaries have not been notified of, and have no knowledge of any event or condition that would reasonably be expected to result in, any such Breach.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(i) The Company and each of its subsidiaries has complied in all material respects with all terms and conditions of each contract with the United States Government or where the United States Government is the end customer (each a “</w:t>
      </w:r>
      <w:r>
        <w:rPr>
          <w:rFonts w:ascii="Times New Roman;Times;Serif" w:hAnsi="Times New Roman;Times;Serif"/>
          <w:b w:val="false"/>
          <w:i w:val="false"/>
          <w:caps w:val="false"/>
          <w:smallCaps w:val="false"/>
          <w:sz w:val="20"/>
          <w:u w:val="single"/>
        </w:rPr>
        <w:t>Government Contract</w:t>
      </w:r>
      <w:r>
        <w:rPr>
          <w:rFonts w:ascii="Times New Roman;Times;Serif" w:hAnsi="Times New Roman;Times;Serif"/>
          <w:b w:val="false"/>
          <w:i w:val="false"/>
          <w:caps w:val="false"/>
          <w:smallCaps w:val="false"/>
          <w:sz w:val="20"/>
        </w:rPr>
        <w:t>”), including all clauses, provisions and requirements incorporated expressly by reference or by operation of law therein; (ii) the Company and each of its subsidiaries has complied in all material respects with all requirements of applicable laws, regulations and requirements pertaining to each Government Contract; (iii) all representations and certifications executed, acknowledged or set forth in a Government Contract or pertaining to each proposal, bid, or quote for a Government Contract were complete and correct as of their effective date, and the Company or the relevant subsidiary has complied with all such representations and certifications, in each case in all material respects; (iv) neither the United States Government nor any prime contractor, subcontractor or other person has notified the Company or any subsidiaries in writing that the Company or any of its subsidiaries has breached or violated any law, regulation, certification, representation, clause, provision or requirement pertaining to any Government Contract; (v) neither the Company nor any of its subsidiaries nor, to the knowledge of the Company, any of the Company’s directors, officers or employees is (or during the last five (5) years has been) under administrative, civil or criminal investigation, or indictment with respect to any alleged irregularity, misstatement or omission arising under or relating to any Government Contract; (vi) neither the Company nor any of its subsidiaries nor, to the knowledge of the Company, any of their respective Principals (as defined in 48 C.F.R. § 2.101) is suspended or debarred, or has been proposed for suspension or debarment, from doing business with the United States Government; (vii) neither the Company nor any its subsidiaries has received written notice of the termination for default, or, to the knowledge of the Company, the intention or show cause to terminate for default or the intention to terminate for convenience of, any Government Contract; (viii) during the last five (5) years, the Company has not conducted or initiated any internal investigation or made any voluntary or mandatory disclosure to any governmental or quasi-governmental entity with respect to any alleged irregularity, misstatement, omission, noncompliance, civil violation, or criminal violation arising under or relating to any Government Contract; (ix) during the last five years, there have not been any claims or requests for equitable adjustment by the Company or any subsidiary of the Company relating to any Government Contract in excess of $1,000,000; and (x) there are no outstanding claims, lawsuits or other legal actions against the Company or any subsidiary arising under or relating to any Government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The Company and subsidiaries maintain and possess facility clearances granted pursuant to the National Industrial Security Program Operating Manual (32 C.F.R. Part 117) by either the Department of Defense or such other U.S. government agencies to perform certain Government Contracts and as otherwise reasonably necessary for the continued conduct of the Company’s business, in substantially the same manner as conducted as of the date hereof. The Company and its subsidiaries employ sufficient employees with personal security clearances to perform its Government Contracts and as otherwise reasonably necessary for the continued conduct of the Company’s business, in substantially the same manner as conducted as of the date hereof and as described in the Time of Sale Prospectus. None of the Company, any subsidiary of the Company or, to the knowledge of the Company, any employees holding personal security clearances have violated in any material respect any law or regulation governing the safeguarding of classified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As of the date hereof, to the knowledge of the Company: (i) neither the Company nor any of its subsidiaries is a “covered foreign person,” as that term is defined in 31 C.F.R. § 850.209; and (ii) neither the Company nor any of its subsidiaries currently engage, or have plans to engage, in a “covered activity,” as that term is defined in 31 C.F.R. § 850.208.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The Company does not have any debt securities that are rated by any “nationally recognized statistical rating organization” (as defined for purposes of Rule 3(a)(62)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The Company does not hold “plan assets” for purposes of ERISA or Section 4975 of the Internal Revenue Code of 1986, as amended (the “Code”) or otherwise constitute a “benefit plan investor,” within the meaning of Section 3(42) of ERISA and/or 29 C.F.R. Section 2510.3-101, a “governmental plan,” within the meaning of Section 3(32) of ERISA, or a plan, account or other arrangement that is subject to any law, rule or regulation that is similar to Title I of ERISA or Section 4975 of the Internal Revenue Code of 1986,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The subsidiaries listed on Annex A attached hereto are the only significant subsidiaries of the Company as defined by Rule 1-02 of Regulation S-X.</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Purchase and Sale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and in reliance upon the representations and warranties herein set forth, the Company agrees to sell to each Underwriter, and each Underwriter agrees, severally and not jointly, to purchase from the Company, at a purchase price of $256.025 per share, the amount of the Underwritten Securities set forth opposite such Underwriter’s name in Schedule I 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and conditions and in reliance upon the representations and warranties herein set forth, the Company hereby grants an option to the several Underwriters to purchase, severally and not jointly, up to 225,000 Option Securities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in whole or in part at any time on or before the 30th day after the date of the Final Prospectus upon written or telegraphic notice by the Representatives to the Company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Delivery and Payment</w:t>
      </w:r>
      <w:r>
        <w:rPr>
          <w:rFonts w:ascii="Times New Roman;Times;Serif" w:hAnsi="Times New Roman;Times;Serif"/>
          <w:b w:val="false"/>
          <w:i w:val="false"/>
          <w:caps w:val="false"/>
          <w:smallCaps w:val="false"/>
          <w:sz w:val="20"/>
        </w:rPr>
        <w:t>. Delivery of and payment for the Underwritten Securities and the Option Securities (if the option provided for in Section 2(b) hereof shall have been exercised on or before the Business Day immediately preceding the Closing Date) shall be made at 10:00 AM, New York City time, on May 15, 2026, or at such time on such later date not more than three Business Days after the foregoing date as the Representatives shall designate, which date and time may be postponed by the Representatives and the Company or as provided in Section 9 hereof (such date and time of delivery and payment for the Securities being herein called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As used herein,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a Sunday or a legal holiday or a day on which banking institutions or trust companies are authorized or obligated by law to close in New York City.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Underwritten Securities and the Option Securities shall be made through the facilities of The Depository Trust Company unless the Representatives shall otherwise instruct.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option provided for in Section 2(b) hereof is exercised after the Business Day immediately preceding the Closing Date, the Company will deliver the Option Securities (at the expense of the Company) to the Representatives, at 388 Greenwich Street, New York, New York, on the date specified by the Representatives (which shall be within three Business Days after exercise of said option) for the respective accounts of the several Underwriters, against payment by the several Underwriters through the Representatives of the purchase price thereof to or upon the order of the Company hereto by wire transfer payable in same-day funds to an account specified by the Company. If settlement for the Option Securities occurs after the Closing Date, the Company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Offering by Underwriters</w:t>
      </w:r>
      <w:r>
        <w:rPr>
          <w:rFonts w:ascii="Times New Roman;Times;Serif" w:hAnsi="Times New Roman;Times;Serif"/>
          <w:b w:val="false"/>
          <w:i w:val="false"/>
          <w:caps w:val="false"/>
          <w:smallCaps w:val="false"/>
          <w:sz w:val="20"/>
        </w:rPr>
        <w:t>. It is understood that the several Underwriters propose to offer the Securities for sale to the public as set forth in the Final Prospectus.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agrees with the several Underwriters that: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termination of the offering of the Securities, the Company will not file any amendment of the Registration Statement or supplement (including the Final Prospectus or any Preliminary Prospectus) to the Base Prospectus unless the Company has furnished you a copy for your review prior to filing and will not file any such proposed amendment or supplement to which you reasonably object. The Company will cause the Final Prospectus, properly completed, and any supplement thereto to be filed in a form approved by the Representatives with the SEC pursuant to the applicable paragraph of Rule 424(b) within the time period prescribed and will provide evidence satisfactory to the Representatives of such timely filing. The Company will promptly advise the Representatives (i) when the Final Prospectus, and any supplement thereto, shall have been filed (if required) with the SEC pursuant to Rule 424(b), (ii) when, prior to termination of the offering of the Securities, any amendment to the Registration Statement shall have been filed or become effective, (iii) of any request by the SEC or its staff for any amendment of the Registration Statement or for any supplement to the Final Prospectus or for any additional information, (iv) of the issuance by the SEC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prior to the filing of the Final Prospectus pursuant to Rule 424(b) ,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any time when a prospectus relating to the Securities is required to be delivered under the Securities Act (including in circumstances where such requirement may be satisfied pursuant to Rule 172), any event occurs as a result of which the Final Prospectus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file a new registration statement or supplement the Final Prospectus to comply with the Securities Act or the Exchange Act or the respective rules thereunder, including in connection with use or delivery of the Final Prospectus, the Company promptly will (i) notify the Representatives of any such event, (ii) prepare and file with the SEC, subject to the second sentence of paragraph (a) of this Section 5, an amendment or supplement or new registration statement which will correct such statement or omission or effect such compliance, (iii) use its reasonable best efforts to have any amendment to the Registration Statement or new registration statement declared effective as soon as practicable in order to avoid any disruption in use of the Final Prospectus and (iv) supply any supplemented Final Prospectus to you in such quantities as you may reasonably request.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soon as practicable, the Company will make generally available to its security holders (which may be satisfied by filing with the SEC) and to the Representatives an earnings statement or statements of the Company and its subsidiaries which will satisfy the provisions of Section 11(a) of the Securities Act and Rule 158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will furnish to the Representatives and counsel for the Underwriters, without charge, conformed copies of the Registration Statement (including exhibits thereto) and to each other Underwriter a copy of the Registration Statement (without exhibits thereto) and, so long as delivery of a prospectus by an Underwriter or dealer may be required by the Securities Act (including in circumstances where such requirement may be satisfied pursuant to Rule 172), as many copies of each Preliminary Prospectus, the Final Prospectus and each Issuer Free Writing Prospectus and any supplement thereto as the Representatives may reasonably request. The Company will pay the expenses of printing or other production of all documents relating to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will arrange, if necessary, for the qualification of the Securities for sale under the laws of such jurisdictions as the Representatives may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Company will not, without the prior written consent of Citigroup Global Markets Inc., BofA Securities, Inc. and Wells Fargo Securities, LLC,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submission or filing (or participation in the filing) of a registration statement with the SEC in respect of, or establish or increase a put equivalent position or liquidate or decrease a call equivalent position within the meaning of Section 16 of the Exchange Act, any other shares of Class B Common Stock, its Class A common stock or any securities convertible into, or exercisable, or exchangeable for, shares of any class of its common stock; or publicly announce an intention to effect any such transaction, for a period of 60 days after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restrictions above do not apply to (i) the grant or amendment of any compensatory equity-based awards, the issuance and sale of common stock or securities with respect thereto pursuant to any employee stock option plan, incentive plan, stock ownership plan or dividend reinvestment plan of the Company described in the Registration Statement, the Disclosure Package, and the Final Prospectus in effect at the Execution Time, including but not limited to a non-employee director stock compensation plan or program and an employee stock purchase plan, provided that such recipients agree to be bound by the terms of a lock-up agreement with the Underwriters, (ii) the issuance of common stock issuable upon the conversion of securities or the exercise of warrants outstanding at the Execution Time or options (including net exercise) or the vesting and/or settlement of a restricted stock or restricted stock unit award (including net settlement) or otherwise to satisfy a tax withholding obligation of the Company in connection with the vesting, settlement or exercise of a compensatory equity-based award, described in the Registration Statement, the Disclosure Package and the Final Prospectus, (iii) facilitate the establishment and amendment of a trading plan on behalf of a stockholder, officer or director of the Company pursuant to Rule 10b5-1 under the Exchange Act for the transfer of shares of Common Stock, provided that (1) such plan does not provide for the transfer of shares of common stock during the Restricted Period and (2) to the extent any public disclosure is made regarding the establishment of such plan, such disclosure shall include a statement to the effect that no transfer of shares of common stock may be made under such plan during the Restricted Period, (iv) the issuance of up to 5% of the outstanding shares of Class B Common Stock, or securities convertible into, exercisable for, or which are otherwise exchangeable for, Class B Common Stock, immediately following the Closing Date, in connection with any mergers, acquisitions, joint ventures, commercial or other similar strategic transactions, provided that such recipients enter into a letter substantially in the form of Exhibit A hereto addressed to the Representatives, or (v) file any registration statement on Form S-8 relating to securities granted or to be granted pursuant to any plan described in the Registration Statement, the Disclosure Package and the Final Prospectus or any assumed benefit plan pursuant to a merger, acquisition, joint venture, commercial or other similar strategic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agrees to pay the costs and expenses relating to the following matters: (i) the preparation, printing or reproduction and filing with the SEC of the Registration Statement (including financial statements and exhibits thereto), each Preliminary Prospectus, the Final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Final Prospectus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including any stamp or transfer taxes in connection with the original issuance and sale of the Securities; (iv) the printing (or reproduction) and delivery of this Agreement, any blue sky memorandum and all other agreements or documents printed (or reproduced) and delivered in connection with the offering of the Securities; (v) the registration of the Securities under the Exchange Act and the continued listing of the Securities on the Nasdaq Global Select Market; (vi) any registration or qualification of the Securities for offer and sale under the securities or blue sky laws of the several states (including filing fees and the reasonable fees and expenses of counsel for the Underwriters relating to such registration and qualification); (vii) any filings required to be made with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(including filing fees and the reasonable fees and expenses of counsel for the Underwriters relating to such filings), provided that the amount payable pursuant to clauses (vii) and (vi) above shall not exceed $30,000 in the aggregate; (viii) the transportation and other expenses incurred by or on behalf of Company representatives in connection with presentations to prospective purchasers of the Securities; (ix) the fees and expenses of the Company’s accountants and the fees and expenses of counsel (including local and special counsel) for the Company; and (x) all other costs and expenses incident to the performance by the Company of its obligations 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Free Writing Prospectus required to be filed by the Company with the SEC or retained by the Company under Rule 433 under the Securities Act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provided that the prior written consent of the parties hereto shall be deemed to have been given in respect of the Free Writing Prospectuses included in Schedule III hereto and any electronic road show. Any such free writing prospectus consented to by the Representatives or the Company is hereinafter referred to as a “</w:t>
      </w:r>
      <w:r>
        <w:rPr>
          <w:rFonts w:ascii="Times New Roman;Times;Serif" w:hAnsi="Times New Roman;Times;Serif"/>
          <w:b w:val="false"/>
          <w:i w:val="false"/>
          <w:caps w:val="false"/>
          <w:smallCaps w:val="false"/>
          <w:sz w:val="20"/>
          <w:u w:val="single"/>
        </w:rPr>
        <w:t>Permitted Free Writing Prospectus</w:t>
      </w:r>
      <w:r>
        <w:rPr>
          <w:rFonts w:ascii="Times New Roman;Times;Serif" w:hAnsi="Times New Roman;Times;Serif"/>
          <w:b w:val="false"/>
          <w:i w:val="false"/>
          <w:caps w:val="false"/>
          <w:smallCaps w:val="false"/>
          <w:sz w:val="20"/>
        </w:rPr>
        <w:t>.” The Company agrees that (x) it has treated and will treat, as the case may be, each Permitted Free Writing Prospectus as an Issuer Free Writing Prospectus and (y) it has complied and will comply, as the case may be, with the requirements of Rule 164 under the Securities Act (“</w:t>
      </w:r>
      <w:r>
        <w:rPr>
          <w:rFonts w:ascii="Times New Roman;Times;Serif" w:hAnsi="Times New Roman;Times;Serif"/>
          <w:b w:val="false"/>
          <w:i w:val="false"/>
          <w:caps w:val="false"/>
          <w:smallCaps w:val="false"/>
          <w:sz w:val="20"/>
          <w:u w:val="single"/>
        </w:rPr>
        <w:t>Rule 164</w:t>
      </w:r>
      <w:r>
        <w:rPr>
          <w:rFonts w:ascii="Times New Roman;Times;Serif" w:hAnsi="Times New Roman;Times;Serif"/>
          <w:b w:val="false"/>
          <w:i w:val="false"/>
          <w:caps w:val="false"/>
          <w:smallCaps w:val="false"/>
          <w:sz w:val="20"/>
        </w:rPr>
        <w:t>”) and Rule 433 applicable to any Permitted Free Writing Prospectus, including in respect of timely filing with the SEC, legending and record keeping.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All sums payable by the Company under this Agreement shall be paid free and clear of and without deductions or withholdings of any present or future taxes or duties, unless the deduction or withholding is required by law, in which case the Company shall pay such additional amount (an “</w:t>
      </w:r>
      <w:r>
        <w:rPr>
          <w:rFonts w:ascii="Times New Roman;Times;Serif" w:hAnsi="Times New Roman;Times;Serif"/>
          <w:b w:val="false"/>
          <w:i w:val="false"/>
          <w:caps w:val="false"/>
          <w:smallCaps w:val="false"/>
          <w:sz w:val="20"/>
          <w:u w:val="single"/>
        </w:rPr>
        <w:t>Additional Amount</w:t>
      </w:r>
      <w:r>
        <w:rPr>
          <w:rFonts w:ascii="Times New Roman;Times;Serif" w:hAnsi="Times New Roman;Times;Serif"/>
          <w:b w:val="false"/>
          <w:i w:val="false"/>
          <w:caps w:val="false"/>
          <w:smallCaps w:val="false"/>
          <w:sz w:val="20"/>
        </w:rPr>
        <w:t>”) as will result in the receipt by each Underwriter of the full amount that would have been received had no deduction or withholding been made, provided that no Additional Amount shall be payable in respect of taxes imposed on or measured by net income or profits (however denominated), franchise taxes or branch profits taxes, in each case, (i) imposed as a result of such Underwriter being organized under the laws of, or having its principal office in, the jurisdiction imposing such tax (or any political subdivision thereof), or (ii) that are imposed as a result of a present or former connection between such Underwriter and the jurisdiction imposing such tax (other than connections arising solely from such Underwriter having executed, delivered, become a party to, performed its obligations under, rendered services under, or received payments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Obligations of the Underwriters</w:t>
      </w:r>
      <w:r>
        <w:rPr>
          <w:rFonts w:ascii="Times New Roman;Times;Serif" w:hAnsi="Times New Roman;Times;Serif"/>
          <w:b w:val="false"/>
          <w:i w:val="false"/>
          <w:caps w:val="false"/>
          <w:smallCaps w:val="false"/>
          <w:sz w:val="20"/>
        </w:rPr>
        <w:t>. The obligations of the Underwriters to purchase the Underwritten Securities and the Option Securities, as the case may be, shall be subject to the accuracy of the representations and warranties on the part of the Company contained herein as of the Execution Time, the Closing Date and any Settlement Date pursuant to Section 3 hereof, to the accuracy of the statements of the Company made in any certificates pursuant to the provisions hereof, to the performance by the Company of its obligations hereunder and to the following additional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Final Prospectus, and any supplement thereto, have been filed in the manner and within the time period required by Rule 424(b); any other material required to be filed by the Company pursuant to Rule 433(d) shall have been filed with the SEC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requested and caused White &amp; Case LLP, counsel for the Company, to have furnished to the Representatives their opinion and negative assurance letter, dated the Closing Date, or the Settlement Date, as applicable, and addressed to the Representatives, in form and substance reasonably satisfactory to the Representatives, together with signed or reproduced copies of such letter for each of the other Underwriters with respect to the matters as the Representatives may require.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requested and caused Lowenstein Sandler LLP, New Jersey counsel for the Company, to have furnished to the Representatives their opinion, dated the Closing Date, or the Settlement Date, as applicable, and addressed to the Representatives, in form and substance reasonably satisfactory to the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Representatives shall have received from Simpson Thacher &amp; Bartlett LLP, counsel for the Underwriters, such opinion and negative assurance letter, dated the Closing Date, or the Settlement Date, as applicable, and addressed to the Representatives, in form and substance reasonably satisfactory to the Representatives, together with signed or reproduced copies of such letter for each of the other Underwriters with respect to the matters as the Representatives may require, and the Company shall have furnished to such counsel such documents as they request for the purpose of enabling them to pass upon such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furnished to the Representatives a certificate of the Company, signed by the Chief Executive Officer or the Chief Financial Officer of the Company, dated the Closing Date, or the Settlement Date, as applicable, to the effect that the signers of such certificate have carefully examined the Registration Statement, the Disclosure Package, the Final Prospectus and any amendment or supplement thereto, as well as each electronic road show used in connection with the offering of the Securities, and this Agreement and that: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in this Agreement are true and correct on and as of the Closing Date, or the Settlement Date, as applicable, with the same effect as if made on the Closing Date, or the Settlement Date, as applicable, and the Company has complied with all the agreements and satisfied all the conditions on its part to be performed or satisfied at or prior to the Closing Date, or the Settlement Date, as applicable;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suspending the effectiveness of the Registration Statement or any notice objecting to its use has been issued and no proceedings for that purpose have been instituted or, to the Company’s knowledge, threatened; and</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since the date of the most recent financial statements included or incorporated by reference in the Disclosure Package and the Final Prospectus (exclusive of any amendment or supplement thereto), there has been no material adverse change in the condition (financial or otherwise), prospects, earnings, business or properties of the Company and its subsidiaries, taken as a whole, whether or not arising from transactions in the ordinary course of business, except as set forth in or contemplated in the Disclosure Package and the Final Prospectus (exclusive of any amendment or supplement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furnished to the Representatives a certificate of the Company, signed by the Chief Financial Officer of the Company, dated as of the Closing Date, or the Settlement Date, as applicable, with respect to certain financial information contained in the Registration Statement, the Disclosure Package and the Final Prospectus in form and substance reasonably satisfactory to the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have requested and caused each of Grant Thornton LLP and Deloitte LLP to have furnished to the Representatives, at the Execution Time and at the Closing Date, or the Settlement Date, as applicable, letters, dated respectively as of the Execution Time and as of the Closing Date, or the Settlement Date, as applicable, in form and substance satisfactory to the Representatives, confirming that each of them are independent accountants within the meaning of the Securities Act and the Exchange Act and the applicable rules and regulations adopted by the SEC thereunder and containing statements and information of the type customarily included in accountants’ “comfort letters” to underwriters with respect to the financial statements and certain financial information contained in the Disclosure Package and the Final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Subsequent to the Execution Time or, if earlier, the dates as of which information is given in the Registration Statement (exclusive of any amendment thereof) and the Final Prospectus (exclusive of supplement thereto), there shall not have been (i) any change or decrease specified in the letter or letters referred to in paragraph (g)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the Disclosure Package and the Final Prospectus (exclusive of any amendment or supplement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Securities shall have been listed and admitted and authorized for trading on the Nasdaq Global Select Market, and satisfactory evidence of such actions shall have been provided to the Representatives.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At the Execution Time, the Company shall have furnished to the Representatives a letter substantially in the form of Exhibit A hereto from each party listed in Schedule IV hereto addressed to the Representatives.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Prior to the Closing Date, the Company shall have furnished to the Representatives such further information, certificates and documents as the Representatives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required to be delivered by this Section 6 shall be delivered at the office of Simpson Thacher &amp; Bartlett LLP, counsel for the Underwriters, at 425 Lexington Avenue, New York, New York 10017, on the Closing Date.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Reimbursement of Underwriters’ Expenses</w:t>
      </w:r>
      <w:r>
        <w:rPr>
          <w:rFonts w:ascii="Times New Roman;Times;Serif" w:hAnsi="Times New Roman;Times;Serif"/>
          <w:b w:val="false"/>
          <w:i w:val="false"/>
          <w:caps w:val="false"/>
          <w:smallCaps w:val="false"/>
          <w:sz w:val="20"/>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comply with any provision hereof other than by reason of a default by any of the Underwriters, the Company will reimburse the Underwriters severally through Citigroup Global Markets Inc. on demand for all reasonable and documented out of pocket expenses (including reasonable and documented fees and disbursements of counsel) that shall have been incurred by them in connection with the proposed purchase and sale of the Securities.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agrees to indemnify and hold harmless each Underwriter, the directors, officers, employees, affiliates and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Base Prospectus, any Preliminary Prospectus or any other preliminary prospectus supplement relating to the Securities, the Final Prospectus, any Issuer Free Writing Prospectus, or any “road show” as defined in Rule 433(h) of this Act,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it being understood and agreed that the only such information furnished by any Underwriter consists of the information described in the last sentence of Section 8(b). This indemnity agreement will be in addition to any liability which the Company may otherwise have.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severally and not jointly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 Company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acknowledges that the statements set forth (i) in the fifth and seventh paragraphs of the cover page regarding delivery of the Securities and, under the heading “Underwriting (Conflicts of Interest)” (ii) the list of Underwriters and their respective participation in the sale of the Securities, (iii) the sentences related to concessions and reallowances and (iv) the paragraph related to stabilization, syndicate covering transactions and penalty bids in the Preliminary Prospectus and the Final Prospectus constitute the only information furnished in writing by or on behalf of the several Underwriters for inclusion in the Preliminary Prospectus, the Final Prospectus or any Issuer Free Writing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(provided that the indemnifying party shall not be liable for the fees and expenses of more than one such separate counsel, in addition to any local counsel, representing the indemnified parties who are parties to such action)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the indemnity provided in paragraph (a), (b) or (c)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to which the Company and one or more of the Underwriters may be subject in such proportion as is appropriate to reflect the relative benefits received by the Company on the one hand and by the Underwriters on the other from the offering of the Securities.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8,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Default by an Underwriter</w:t>
      </w:r>
      <w:r>
        <w:rPr>
          <w:rFonts w:ascii="Times New Roman;Times;Serif" w:hAnsi="Times New Roman;Times;Serif"/>
          <w:b w:val="false"/>
          <w:i w:val="false"/>
          <w:caps w:val="false"/>
          <w:smallCaps w:val="false"/>
          <w:sz w:val="20"/>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Schedule I hereto bears to the aggregate amount of Securities set forth opposite the names of all the remaining Underwriters) the Securities which the defaulting Underwriter or Underwriters agreed but failed to purchase;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the aggregate amount of Securities which the defaulting Underwriter or Underwriters agreed but failed to purchase shall exceed 10% of the aggregate amount of Securities set forth in Schedule 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Section 9, the Closing Date shall be postponed for such period, not exceeding five Business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be subject to termination in the absolute discretion of the Representatives, by notice given to the Company prior to delivery of and payment for the Securities, if at any time prior to such delivery and payment (i) trading in the Company’s Common Stock shall have been suspended by the SEC or Nasdaq Global Select Market or trading in securities generally on the Nasdaq Global Select Market shall have been suspended or limited or minimum prices shall have been established on such exchange, (ii) a banking moratorium shall have been declared either by Federal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any Preliminary Prospectus or the Final Prospectus (exclusive of any amendment or supplement thereto).</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Representations and Indemnities to Survive</w:t>
      </w:r>
      <w:r>
        <w:rPr>
          <w:rFonts w:ascii="Times New Roman;Times;Serif" w:hAnsi="Times New Roman;Times;Serif"/>
          <w:b w:val="false"/>
          <w:i w:val="false"/>
          <w:caps w:val="false"/>
          <w:smallCaps w:val="false"/>
          <w:sz w:val="20"/>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Section 8 hereof, and will survive delivery of and payment for the Securities. The provisions of Sections 7 and 8 hereof shall survive the termination or cancellation of this Agreement.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trike w:val="false"/>
          <w:dstrike w:val="false"/>
          <w:sz w:val="20"/>
          <w:u w:val="none"/>
          <w:effect w:val="none"/>
        </w:rPr>
        <w:t>. All communications hereunder will be in writing and effective only on receipt, and, if sent to the Representatives, will be mailed, delivered or telefaxed to Citigroup Global Markets Inc. at 388 Greenwich Street, New York, New York 10013, Attention: General Counsel, facsimile number: +1 (646) 291-1469, BofA Securities, Inc. at One Bryant Park, New York, New York 10036, Attention: Syndicate Department, Email: dg.ecm_execution_services@bofa.com, with a copy to Attention: ECM Legal, Email dg.ecm_legal@bofa.com, and Wells Fargo Securities, LLC, 500 West 33</w:t>
      </w:r>
      <w:r>
        <w:rPr>
          <w:rFonts w:ascii="Times New Roman;Times;Serif" w:hAnsi="Times New Roman;Times;Serif"/>
          <w:b w:val="false"/>
          <w:i w:val="false"/>
          <w:caps w:val="false"/>
          <w:smallCaps w:val="false"/>
          <w:strike w:val="false"/>
          <w:dstrike w:val="false"/>
          <w:position w:val="7"/>
          <w:sz w:val="16"/>
          <w:sz w:val="20"/>
          <w:u w:val="none"/>
          <w:effect w:val="none"/>
        </w:rPr>
        <w:t>rd</w:t>
      </w:r>
      <w:r>
        <w:rPr>
          <w:rFonts w:ascii="Times New Roman;Times;Serif" w:hAnsi="Times New Roman;Times;Serif"/>
          <w:b w:val="false"/>
          <w:i w:val="false"/>
          <w:caps w:val="false"/>
          <w:smallCaps w:val="false"/>
          <w:strike w:val="false"/>
          <w:dstrike w:val="false"/>
          <w:sz w:val="20"/>
          <w:u w:val="none"/>
          <w:effect w:val="none"/>
        </w:rPr>
        <w:t xml:space="preserve"> Street, New York, New York 10001, Attention: Equity Syndicate Department, facsimile number: +1 (212) 214-5918, or, if sent to Bel Fuse Inc., will be mailed, delivered or telefaxed to the Company at 300 Executive Drive, Suite 300, West Orange, New Jersey.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r>
        <w:rPr>
          <w:rFonts w:ascii="Times New Roman;Times;Serif" w:hAnsi="Times New Roman;Times;Serif"/>
          <w:b w:val="false"/>
          <w:i w:val="false"/>
          <w:caps w:val="false"/>
          <w:smallCaps w:val="false"/>
          <w:sz w:val="20"/>
          <w:u w:val="single"/>
        </w:rPr>
        <w:t xml:space="preserve"> Jurisdiction</w:t>
      </w:r>
      <w:r>
        <w:rPr>
          <w:rFonts w:ascii="Times New Roman;Times;Serif" w:hAnsi="Times New Roman;Times;Serif"/>
          <w:b w:val="false"/>
          <w:i w:val="false"/>
          <w:caps w:val="false"/>
          <w:smallCaps w:val="false"/>
          <w:sz w:val="20"/>
        </w:rPr>
        <w:t>. The Company agrees that any suit, action or proceeding against the Company brought by any Underwriter, the directors, officers, employees, affiliates and agents of any Underwriter, or by any person who controls any Underwriter, arising out of or based upon this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 The Company hereby appoints its registered agent as Bel Fuse Inc. (the “</w:t>
      </w:r>
      <w:r>
        <w:rPr>
          <w:rFonts w:ascii="Times New Roman;Times;Serif" w:hAnsi="Times New Roman;Times;Serif"/>
          <w:b w:val="false"/>
          <w:i w:val="false"/>
          <w:caps w:val="false"/>
          <w:smallCaps w:val="false"/>
          <w:sz w:val="20"/>
          <w:u w:val="single"/>
        </w:rPr>
        <w:t>Authorized Agent</w:t>
      </w:r>
      <w:r>
        <w:rPr>
          <w:rFonts w:ascii="Times New Roman;Times;Serif" w:hAnsi="Times New Roman;Times;Serif"/>
          <w:b w:val="false"/>
          <w:i w:val="false"/>
          <w:caps w:val="false"/>
          <w:smallCaps w:val="false"/>
          <w:sz w:val="20"/>
        </w:rPr>
        <w:t>”) upon whom process may be served in any suit, action or proceeding arising out of or based upon this Agreement or the transactions contemplated herein that may be instituted in any State or U.S. federal court in The City of New York and County of New York, by any Underwriter, the directors, officers, employees, affiliates and agents of any Underwriter, or by any person who controls any Underwriter, and expressly accepts the non-exclusive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 Notwithstanding the foregoing, any action arising out of or based upon this Agreement may be instituted by any Underwriter, the directors, officers, employees, affiliates and agents of any Underwriter, or by any person who controls any Underwriter, in any court of competent jurisdiction in New Jersey.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15, “</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No Fiduciary Duty</w:t>
      </w:r>
      <w:r>
        <w:rPr>
          <w:rFonts w:ascii="Times New Roman;Times;Serif" w:hAnsi="Times New Roman;Times;Serif"/>
          <w:b w:val="false"/>
          <w:i w:val="false"/>
          <w:caps w:val="false"/>
          <w:smallCaps w:val="false"/>
          <w:sz w:val="20"/>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supersedes all prior agreements and understandings (whether written or oral) between the Company and the Underwriters, or any of them, with respect to the subject matter hereof.</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will be governed by and construed in accordance with the laws of the State of New York applicable to contracts made and to be performed within the State of New York.</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Company and the Underwriters hereby irrevocably waive,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signed in one or more counterparts, each of which shall constitute an original and all of which together shall constitute one and the same agreement.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used herein are for convenience only and shall not affect the construction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pStyle w:val="TextBody"/>
        <w:bidi w:val="0"/>
        <w:spacing w:before="0" w:after="0"/>
        <w:ind w:left="0"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9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 FUSE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Lynn Hutkin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Lynn Hutkin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Underwriting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 accepted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3559" w:type="dxa"/>
        <w:jc w:val="left"/>
        <w:tblInd w:w="0" w:type="dxa"/>
        <w:tblLayout w:type="fixed"/>
        <w:tblCellMar>
          <w:top w:w="0" w:type="dxa"/>
          <w:left w:w="0" w:type="dxa"/>
          <w:bottom w:w="0" w:type="dxa"/>
          <w:right w:w="0" w:type="dxa"/>
        </w:tblCellMar>
      </w:tblPr>
      <w:tblGrid>
        <w:gridCol w:w="75"/>
        <w:gridCol w:w="947"/>
        <w:gridCol w:w="25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CITIGROUP GLOBAL MARKETS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tcBorders/>
            <w:vAlign w:val="center"/>
          </w:tcPr>
          <w:p>
            <w:pPr>
              <w:pStyle w:val="TableContents"/>
              <w:bidi w:val="0"/>
              <w:spacing w:before="0" w:after="283"/>
              <w:jc w:val="left"/>
              <w:rPr>
                <w:caps w:val="false"/>
                <w:smallCaps w:val="false"/>
              </w:rPr>
            </w:pPr>
            <w:r>
              <w:rPr>
                <w:caps w:val="false"/>
                <w:smallCaps w:val="false"/>
              </w:rPr>
              <w:t> </w:t>
            </w:r>
          </w:p>
        </w:tc>
        <w:tc>
          <w:tcPr>
            <w:tcW w:w="253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Eric Jetter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Jetter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2344" w:type="dxa"/>
        <w:jc w:val="left"/>
        <w:tblInd w:w="0" w:type="dxa"/>
        <w:tblLayout w:type="fixed"/>
        <w:tblCellMar>
          <w:top w:w="0" w:type="dxa"/>
          <w:left w:w="0" w:type="dxa"/>
          <w:bottom w:w="0" w:type="dxa"/>
          <w:right w:w="0" w:type="dxa"/>
        </w:tblCellMar>
      </w:tblPr>
      <w:tblGrid>
        <w:gridCol w:w="75"/>
        <w:gridCol w:w="617"/>
        <w:gridCol w:w="165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BOFA SECURITIES,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17" w:type="dxa"/>
            <w:tcBorders/>
            <w:vAlign w:val="center"/>
          </w:tcPr>
          <w:p>
            <w:pPr>
              <w:pStyle w:val="TableContents"/>
              <w:bidi w:val="0"/>
              <w:spacing w:before="0" w:after="283"/>
              <w:jc w:val="left"/>
              <w:rPr>
                <w:caps w:val="false"/>
                <w:smallCaps w:val="false"/>
              </w:rPr>
            </w:pPr>
            <w:r>
              <w:rPr>
                <w:caps w:val="false"/>
                <w:smallCaps w:val="false"/>
              </w:rPr>
              <w:t> </w:t>
            </w:r>
          </w:p>
        </w:tc>
        <w:tc>
          <w:tcPr>
            <w:tcW w:w="16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 Ianniello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6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Ianniello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3259" w:type="dxa"/>
        <w:jc w:val="left"/>
        <w:tblInd w:w="0" w:type="dxa"/>
        <w:tblLayout w:type="fixed"/>
        <w:tblCellMar>
          <w:top w:w="0" w:type="dxa"/>
          <w:left w:w="0" w:type="dxa"/>
          <w:bottom w:w="0" w:type="dxa"/>
          <w:right w:w="0" w:type="dxa"/>
        </w:tblCellMar>
      </w:tblPr>
      <w:tblGrid>
        <w:gridCol w:w="75"/>
        <w:gridCol w:w="702"/>
        <w:gridCol w:w="24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WELLS FARGO SECURITIES,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4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Christie MacDonald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Christie MacDonald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themselves and the other several Underwriters named in Schedule I to the foregoing Agreement.</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Underwriting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SCHEDULE I </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28" w:type="dxa"/>
          <w:right w:w="0" w:type="dxa"/>
        </w:tblCellMar>
      </w:tblPr>
      <w:tblGrid>
        <w:gridCol w:w="2960"/>
        <w:gridCol w:w="60"/>
        <w:gridCol w:w="75"/>
        <w:gridCol w:w="1070"/>
        <w:gridCol w:w="75"/>
      </w:tblGrid>
      <w:tr>
        <w:trPr/>
        <w:tc>
          <w:tcPr>
            <w:tcW w:w="296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Underwritten</w:t>
              <w:br/>
              <w:t>Securities to</w:t>
              <w:br/>
              <w:t>be Purchased</w:t>
            </w:r>
          </w:p>
        </w:tc>
        <w:tc>
          <w:tcPr>
            <w:tcW w:w="75" w:type="dxa"/>
            <w:tcBorders/>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9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w:t>
            </w:r>
          </w:p>
        </w:tc>
        <w:tc>
          <w:tcPr>
            <w:tcW w:w="75" w:type="dxa"/>
            <w:tcBorders/>
            <w:shd w:fill="CCEE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9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75" w:type="dxa"/>
            <w:tcBorders/>
            <w:shd w:fill="FFFF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9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247,500</w:t>
            </w:r>
          </w:p>
        </w:tc>
        <w:tc>
          <w:tcPr>
            <w:tcW w:w="75" w:type="dxa"/>
            <w:tcBorders/>
            <w:shd w:fill="CCEE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9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&amp; Company,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75" w:type="dxa"/>
            <w:tcBorders/>
            <w:shd w:fill="FFFF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9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Oppenheimer &amp; Co.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105,000</w:t>
            </w:r>
          </w:p>
        </w:tc>
        <w:tc>
          <w:tcPr>
            <w:tcW w:w="75" w:type="dxa"/>
            <w:tcBorders/>
            <w:shd w:fill="CCEE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9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 Baird &amp; Co. Incorporated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75" w:type="dxa"/>
            <w:tcBorders/>
            <w:shd w:fill="FFFF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9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Capital Markets Corp.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75" w:type="dxa"/>
            <w:tcBorders/>
            <w:shd w:fill="CCEE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9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Craig-Hallum Capital Group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52,500</w:t>
            </w:r>
          </w:p>
        </w:tc>
        <w:tc>
          <w:tcPr>
            <w:tcW w:w="75" w:type="dxa"/>
            <w:tcBorders/>
            <w:shd w:fill="FFFF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9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52,500</w:t>
            </w:r>
          </w:p>
        </w:tc>
        <w:tc>
          <w:tcPr>
            <w:tcW w:w="75" w:type="dxa"/>
            <w:tcBorders/>
            <w:shd w:fill="CCEE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9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SCHEDULE 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Underwritten Securities: 1,500,000 shares of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Securities: 225,000 shares of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 Per Share: $266.00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Free Writing Prospectuses included in the Disclosure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Farouq Tuweiq</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Lynn Hutkin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Kozlovsky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Dawson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Kenneth Lai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Smelker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Bernstein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Brito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Gilbert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Nowling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Segall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Rita Smith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Valletta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Vincent Vellucci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xml:space="preserve">Significant Subsidiaries </w:t>
      </w:r>
    </w:p>
    <w:p>
      <w:pPr>
        <w:pStyle w:val="TextBody"/>
        <w:bidi w:val="0"/>
        <w:spacing w:before="0" w:after="0"/>
        <w:jc w:val="center"/>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4655"/>
        <w:gridCol w:w="2450"/>
      </w:tblGrid>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Subsidiary</w:t>
            </w:r>
          </w:p>
        </w:tc>
        <w:tc>
          <w:tcPr>
            <w:tcW w:w="245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Jurisdiction of Organization</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Power Solutions Germany GmbH</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Components Ltd.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Connector Inc.</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Fuse (Macao Commercial Offshore) Limited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Macao</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Fuse Limited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Guangxi Electronics Co. Ltd.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Power (Hangzhou) Co. Ltd.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Power Europe S.r.l.</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Italy</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Power Inc.</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Massachusetts</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Power Solutions GmbH</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Power Solutions Inc.</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Power Solutions Ireland Limited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Ireland</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Power Solutions s.r.o.</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Slovakia</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Sales (Hong Kong) Ltd.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Stewart GmbH</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Transformer Inc.</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Ventures Inc.</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 Asia Pacific Electronics (Shenzhen) Co. Ltd.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 Cooperatief U.A.</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Netherlands</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Cinch Connectivity Solutions LTD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England and Wales</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Cinch Connectivity Solutions, Inc.</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Cinch Connectors de Mexico, S.A. de C.V.</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Cinch Connectors Limited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England and Wales</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Converters Corporation Pte. LTD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Dongguan Transpower Electric Products Co., Ltd.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Elcatech Development LTD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Enercon Technologies LTD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Enercon Technologies Europe AG</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 Power India Private Limited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 Power Converter Technologies India Private Limited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 Power Magnetics India Private Limited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 Power Source Inc.</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Multisphere Power Solutions Private Limited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 Capital LLC</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Shireoaks Worksop Holdings Ltd.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England and Wales</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Signal Dominicana, S.R.L.</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Dominican Republic</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Stewart Connector Systems de Mexico, S.A. de C.V.</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Stratos International, LLC</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Stratos Lightwave LLC</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Stratos Lightwave-Florida LLC</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Transpower Cooperatief U.A.</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Netherlands</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Transpower Technologies (HK) Limited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Trompeter Electronics, Inc.</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TRP Connector B.V.</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Netherlands</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TRP Connector Limited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Macao</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TRP International*</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Winsonko (Guangxi Pingguo) Electron Co., Ltd.</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r>
    </w:tbl>
    <w:p>
      <w:pPr>
        <w:pStyle w:val="TextBody"/>
        <w:bidi w:val="0"/>
        <w:spacing w:before="0" w:after="0"/>
        <w:jc w:val="center"/>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3725"/>
        <w:gridCol w:w="75"/>
      </w:tblGrid>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TRP International is a China Business Trust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FUSE INC.</w:t>
        <w:br/>
        <w:t>Public Offering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400" w:right="0" w:hanging="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Wells Fargo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33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Street,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(this “</w:t>
      </w:r>
      <w:r>
        <w:rPr>
          <w:rFonts w:ascii="Times New Roman;Times;Serif" w:hAnsi="Times New Roman;Times;Serif"/>
          <w:b w:val="false"/>
          <w:i w:val="false"/>
          <w:caps w:val="false"/>
          <w:smallCaps w:val="false"/>
          <w:sz w:val="20"/>
          <w:u w:val="single"/>
        </w:rPr>
        <w:t>Letter Agreement</w:t>
      </w:r>
      <w:r>
        <w:rPr>
          <w:rFonts w:ascii="Times New Roman;Times;Serif" w:hAnsi="Times New Roman;Times;Serif"/>
          <w:b w:val="false"/>
          <w:i w:val="false"/>
          <w:caps w:val="false"/>
          <w:smallCaps w:val="false"/>
          <w:sz w:val="20"/>
        </w:rPr>
        <w:t>”) is being delivered to you in connection with the proposed underwriting agreement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between Bel Fuse Inc., a New Jersey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of you as representatives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of a group of Underwriters named therein, relating to an underwritten public offering of Class B Common Stock, $0.10 par value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Company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Capitalized terms used herein and not otherwise defined shall have the meanings set forth in the Underwriting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induce you and the other Underwriters to enter into the Underwriting Agreement, the undersigned will not, without the prior written consent of Citigroup Global Markets Inc., BofA Securities, Inc. and Wells Fargo Securities, LLC, (1) offer, sell, contract to sell, sell any option or contract to purchase, purchase any option or contract to sell, grant any option, right or warrant to purchase, lend, pledge or otherwise transfer or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in respect of, or establish or increase a put equivalent position or liquidate or decrease a call equivalent position within the meaning of Section 16 of the Securities Exchange Act of 1934, as amended, and the rules and regulations of the Commission promulgated thereunder with respect to, any shares of capital stock of the Company or any securities convertible into, or exercisable or exchangeable for such capital stock (the “</w:t>
      </w:r>
      <w:r>
        <w:rPr>
          <w:rFonts w:ascii="Times New Roman;Times;Serif" w:hAnsi="Times New Roman;Times;Serif"/>
          <w:b w:val="false"/>
          <w:i w:val="false"/>
          <w:caps w:val="false"/>
          <w:smallCaps w:val="false"/>
          <w:sz w:val="20"/>
          <w:u w:val="single"/>
        </w:rPr>
        <w:t>Lock-Up Securities</w:t>
      </w:r>
      <w:r>
        <w:rPr>
          <w:rFonts w:ascii="Times New Roman;Times;Serif" w:hAnsi="Times New Roman;Times;Serif"/>
          <w:b w:val="false"/>
          <w:i w:val="false"/>
          <w:caps w:val="false"/>
          <w:smallCaps w:val="false"/>
          <w:sz w:val="20"/>
        </w:rPr>
        <w:t>”), (2) enter into any hedging, swap or other agreement or transaction that transfers, in whole or in part, any of the economic consequences of ownership of the Lock-Up Securities, whether to be settled by delivery of the Lock-Up Securities, in cash or otherwise, (3) make any demand for or exercise any right with respect to the registration of any Lock-Up Securities, or (4) publicly announce an intention to effect any such transaction, for a period from the date hereof until 60 days after the date of the Underwriting Agreement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an officer or director of the Company, Citigroup Global Markets Inc., BofA Securities, Inc. and Wells Fargo Securities, LLC agree that, at least three business days before the effective date of any release or waiver of the foregoing restrictions in connection with a transfer of shares of the Lock-up Securities, Citigroup Global Markets Inc., BofA Securities, Inc. and/or Wells Fargo Securities, LLC will notify the Company of the impending release or waiver. The provisions of this paragraph will not apply if (a) the release or waiver is effected solely to permit a transfer not for consideration or to an immediate family member as defined in FINRA Rule 5130(i)(5) and (b) the transferee has agreed in writing to be bound by the same terms described in this Letter Agreement to the extent and for the duration that such terms remain in effect at the time of the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undersigned may: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transfer the undersigned’s Lock-Up Securities:</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a bona fide gift or gifts or charitable contribution, or for bona fide estate planning purposes;</w:t>
      </w:r>
    </w:p>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death or by will, other testamentary document or intestacy;</w:t>
      </w:r>
    </w:p>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undersigned is a natural person, to any member of the undersigned’s immediate family or to any trust for the direct or indirect benefit of the undersigned or the immediate family of the undersigned, or if the undersigned is a trust, to a trustor, trustee or beneficiary of the trust or to the estate of a trustor, trustee or beneficiary of such trust (for purposes of this Letter Agreement, “immediate family” shall mean any relationship by blood, current or former marriage, domestic partnership or adoption, not more remote than first cousin);</w:t>
      </w:r>
    </w:p>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 partnership, limited liability company, corporation or other entity of which the undersigned and the immediate family of the undersigned are the legal and beneficial owner of all of the outstanding equity securities or similar interests;</w:t>
      </w:r>
    </w:p>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 nominee or custodian of a person or entity to whom a disposition or transfer would be permissible under clauses (a) through (d) above;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or shareholders of the undersigned;</w:t>
      </w:r>
    </w:p>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by operation of law, such as pursuant to the rules of descent and distribution or pursuant to a qualified domestic order, divorce settlement, divorce decree, separation agreement or any other court order;</w:t>
      </w:r>
    </w:p>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Company upon death or disability of the undersigned, or, if the undersigned is an employee of the Company, upon termination of employment;</w:t>
      </w:r>
    </w:p>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Lock-Up Securities shall remain subject to the provisions of this Letter Agreement;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the Company in connection with the vesting or settlement of restricted stock units or the “net” or “cashless” exercise of options, warrants or other rights to purchase shares of Lock-Up Securities, for purposes of exercising such options, warrants or rights, including any transfer to the Company for the payment of tax withholdings or remittance payments due as a result of the vesting, settlement, or exercise of such restricted stock units, options, warrants or other rights, in all such cases pursuant to equity awards granted under a stock incentive plan or other equity award plan, which plan is described in the Registration Statement, the pricing prospectus (the “Pricing Prospectus”) or the Prospectus, provided that any shares of capital stock received upon such vesting, settlement or exercise shall be subject to the terms of this Lock-Up Agreement;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as any pledge, charge, hypothecation or other granting of a security interest in the Lock-Up Securities to one or more banks, financial or other lending institutions (“Lenders”) as collateral or security for or in connection with any margin loan or other loans, advances or extensions of credit entered into by the undersigned or any of its direct or indirect subsidiaries; provided that with respect to any pledge, charge, hypothecation or other granting of a security interest set forth above after the execution of this Letter Agreement, the applicable Lender(s) shall be informed of the existence and contents of this Letter Agreement before entering into any margin loan or other loans, advances or extensions of credit and further; provided further that no Lender shall be permitted to foreclose on such margin loan or other loans, advances or extensions of credit during the Restricted Period[.][;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sell shares of Common Stock in the open market from time to time during the Restricted Period solely in order to satisfy the undersigned’s withholding tax obligations (including federal, state, local and payroll taxes) and related tax remittance obligations arising as a result of the vesting of restricted stock awards granted pursuant to an equity incentive plan described in the Registration Statement, the Pricing Prospectus or the Prospectus (each, a ‘Sell-to-Cover Sale’); provided that (i) the aggregate number of shares of Common Stock sold pursuant to all Sell-to-Cover Sales shall not exceed the number of shares reasonably necessary to satisfy such withholding and remittance obligations based on the applicable statutory withholding rates (unless a higher rate is required by applicable law), (ii) any remaining shares of Common Stock held by the undersigned following such vesting shall remain subject to the restrictions set forth in this Letter Agreement for the duration of the Restricted Period, (iii) no public announcement of the undersigned’s intention to effect any Sell-to-Cover Sale shall be made during the Restricted Period, and (iv) any required public filing under Section 16(a) of the Exchange Act (or other required public filing) shall, to the extent permitted, clearly indicate in the footnotes that the transaction was effected solely to satisfy tax withholding and remittance obligations in connection with the vesting of restricted stock awards.]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(i) in the case of any transfer or distribution pursuant to clause (1)(a), (b), (c), (d), (e), and (f) such transfer shall not involve a disposition for value; (ii) in the case of any transfer or distribution pursuant to clause (1)(a), (b), (c), (d), (e), (f), and (g), each donee, devisee, transferee or distributee, as the case may be, agrees in writing to be bound by the restrictions set forth herein; (iii) in the case of any transfer or distribution pursuant to clause (f), each, transferee or distributee shall be subject to restrictions on transfer in a manner that are reasonably satisfactory to Citigroup Global Markets Inc., BofA Securities, Inc. and Wells Fargo Securities, LLC; (iv) in the case of any transfer or distribution pursuant to clause (1)(d), no filing by any party (donor, donee, devisee, transferor, transferee, distributer or distributee) under the Exchange Act, or other public announcement shall be required or shall be made voluntarily in connection with such transfer or distribution reporting a reduction in beneficial ownership (other than (x) a required filing on a Form 5 made after the expiration of the Lock-Up Period or (y) a required filing under Section 16(a) of the Exchange Act or on a Schedule 13F or 13G that discloses therein that such transfer, distribution or other disposition is a disposition for no value (and if such recipient of securities is a person, trust or entity that would report a corresponding acquisition of such securities on the undersigned’s Form 4, and such acquisition is entitled to be reported on a Form 5, such acquisition may be voluntarily reported on such Form 4)); and (x) in the case of any transfer or distribution pursuant to clause (1)(a), (b), (c), (e), (g), and (h) it shall be a condition to such transfer that no public filing, report or announcement shall be voluntarily made and if any filing under Section 16(a) of the Exchange Act, or other public filing, report or announcement reporting a reduction in beneficial ownership of shares of capital stock of the Company in connection with such transfer or distribution shall be legally required during the Restricted Period, such filing, report or announcement shall clearly indicate in the footnotes thereto the nature and conditions of such transfer and, in the case of a transfer pursuant to clause (1)(a), (b), (c), and (e), that the transferee has agreed to be bound by the terms of this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r>
        <w:rPr>
          <w:rFonts w:ascii="Times New Roman;Times;Serif" w:hAnsi="Times New Roman;Times;Serif"/>
          <w:b w:val="false"/>
          <w:i w:val="false"/>
          <w:caps w:val="false"/>
          <w:smallCaps w:val="false"/>
          <w:sz w:val="18"/>
        </w:rPr>
        <w:t>NTD: To be included for certain of the Company’s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900" w:right="0" w:hanging="0"/>
        <w:jc w:val="both"/>
        <w:rPr>
          <w:caps w:val="false"/>
          <w:smallCaps w:val="false"/>
        </w:rPr>
      </w:pPr>
      <w:r>
        <w:rPr>
          <w:caps w:val="false"/>
          <w:smallCaps w:val="false"/>
        </w:rPr>
        <w:t> </w:t>
      </w:r>
    </w:p>
    <w:p>
      <w:pPr>
        <w:pStyle w:val="TextBody"/>
        <w:bidi w:val="0"/>
        <w:spacing w:before="0" w:after="0"/>
        <w:ind w:left="9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exercise outstanding options, settle restricted stock units or other equity awards or exercise warrants pursuant to plans described in the Registration Statement, the Pricing Prospectus and the Prospectus; provided that any Lock-Up Securities received upon such exercise, vesting or settlement shall be subject to the terms of this Letter Agreement;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9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establish or amend trading plans pursuant to Rule 10b5-1 under the Exchange Act for the transfer of shares of Lock-Up Securities; provided that (a) such plans do not provide for the transfer of Lock-Up Securities during the Restricted Period, (b) any required public disclosure of such plans include a statement to the effect that no transfer of securities subject to such plan may be made under such plan until after the expiration of the Restricted Period, and (c) if any filing is made under Section 16(a) of the Exchange Act, such filing shall have the appropriate box checked.</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and all related restrictions and obligations shall automatically terminate upon the earliest to occur, if any, of (a) the Representatives, on the one hand, or the Company, on the other hand, advising the other in writing prior to the execution of the Underwriting Agreement that the Representatives have or the Company has determined not to proceed with the Offering contemplated by the Underwriting Agreement, (b) the termination of the Underwriting Agreement (other than the provisions thereof which survive termination) before the sale of any shares of Common Stock to the Underwriters, (c) the Registration Statement with respect to the Offering contemplated by the Underwriting Agreement is withdrawn prior to execution of the Underwriting Agreement, or (d) June 1, 2026, in the event that the Underwriting Agreement has not been executed by that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the Company, and any duly appointed transfer agent for the registration or transfer of the Lock-Up Securities, are hereby authorized to decline to make any transfer of the Lock-Up Securities if such transfer would constitute a violation or breach of this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reason the Underwriting Agreement shall be terminated prior to the Closing Date (as defined in the Underwriting Agreement), the agreement set forth above shall likewise be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Underwriters and the Company are entering into the Underwriting Agreement and proceeding with the Offering in reliance upon this Letter Agreement. 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Underwriters have not provided any recommendation or investment advice nor have the Underwriters solicited any action from the undersigned with respect to the Offering of the Common Stock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or other related documentation to you in connection with the Offering, the Representatives and the other Underwriters are not making a recommendation to you to enter into this Letter Agreement, participate in the Offering or sell any Common Stock at the price determined in the Offering, and nothing set forth in such disclosures is intended to suggest that the Representatives or any Underwriter is making such a recommendation.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and any claim, controversy or dispute arising under or related to this Letter Agreement shall be governed by and construed in accordance with the laws of the State of New York.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firstLine="1440"/>
        <w:jc w:val="both"/>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560"/>
        <w:gridCol w:w="1260"/>
        <w:gridCol w:w="75"/>
      </w:tblGrid>
      <w:tr>
        <w:trPr/>
        <w:tc>
          <w:tcPr>
            <w:tcW w:w="18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very truly,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720" w:right="0" w:hanging="720"/>
        <w:jc w:val="left"/>
        <w:rPr>
          <w:caps w:val="false"/>
          <w:smallCaps w:val="false"/>
        </w:rPr>
      </w:pPr>
      <w:r>
        <w:rPr>
          <w:caps w:val="false"/>
          <w:smallCaps w:val="false"/>
        </w:rPr>
        <w:t> </w:t>
      </w:r>
    </w:p>
    <w:p>
      <w:pPr>
        <w:pStyle w:val="TextBody"/>
        <w:bidi w:val="0"/>
        <w:jc w:val="right"/>
        <w:rPr>
          <w:b/>
        </w:rPr>
      </w:pPr>
      <w:bookmarkStart w:id="27" w:name="ea029004701ex5-1.htm"/>
      <w:bookmarkStart w:id="28" w:name="ksea029004701ex51"/>
      <w:bookmarkEnd w:id="27"/>
      <w:bookmarkEnd w:id="28"/>
      <w:r>
        <w:rPr>
          <w:b/>
        </w:rPr>
        <w:t>Exhibit 5.1</w:t>
      </w:r>
      <w:r>
        <w:br w:type="page"/>
      </w:r>
    </w:p>
    <w:p>
      <w:pPr>
        <w:pStyle w:val="TextBody"/>
        <w:bidi w:val="0"/>
        <w:spacing w:before="0" w:after="283"/>
        <w:jc w:val="left"/>
        <w:rPr/>
      </w:pPr>
      <w:r>
        <w:rPr/>
        <w:t> </w:t>
      </w:r>
    </w:p>
    <w:p>
      <w:pPr>
        <w:pStyle w:val="TextBody"/>
        <w:bidi w:val="0"/>
        <w:jc w:val="left"/>
        <w:rPr>
          <w:caps w:val="false"/>
          <w:smallCaps w:val="false"/>
        </w:rPr>
      </w:pPr>
      <w:r>
        <w:rPr>
          <w:caps w:val="false"/>
          <w:smallCaps w:val="false"/>
        </w:rPr>
        <w:drawing>
          <wp:inline distT="0" distB="0" distL="0" distR="0">
            <wp:extent cx="20574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628650"/>
                    </a:xfrm>
                    <a:prstGeom prst="rect">
                      <a:avLst/>
                    </a:prstGeom>
                  </pic:spPr>
                </pic:pic>
              </a:graphicData>
            </a:graphic>
          </wp:inline>
        </w:drawing>
      </w:r>
    </w:p>
    <w:p>
      <w:pPr>
        <w:pStyle w:val="TextBody"/>
        <w:bidi w:val="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14,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Fuse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Executive Drive, Suite 300</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Orange, New Jersey 07052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Bel Fuse Inc., a New Jersey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(i) the preparation and filing of the Registration Statement on Form S-3 (Registration No. 333-295813), as amended,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(as so filed,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the related prospectus contained in the Registration Statement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and (ii) the preparation and filing of the prospectus supplement, dated May 13, 2026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relating to the issuance and sale by the Company of up to </w:t>
      </w:r>
      <w:r>
        <w:rPr>
          <w:rFonts w:ascii="Times New Roman;Times;Serif" w:hAnsi="Times New Roman;Times;Serif"/>
          <w:b w:val="false"/>
          <w:i w:val="false"/>
          <w:caps w:val="false"/>
          <w:smallCaps w:val="false"/>
          <w:color w:val="231F20"/>
          <w:sz w:val="20"/>
        </w:rPr>
        <w:t xml:space="preserve">1,725,000 </w:t>
      </w:r>
      <w:r>
        <w:rPr>
          <w:rFonts w:ascii="Times New Roman;Times;Serif" w:hAnsi="Times New Roman;Times;Serif"/>
          <w:b w:val="false"/>
          <w:i w:val="false"/>
          <w:caps w:val="false"/>
          <w:smallCaps w:val="false"/>
          <w:sz w:val="20"/>
        </w:rPr>
        <w:t>shares of Class B common stock, par value $0.10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(including </w:t>
      </w:r>
      <w:r>
        <w:rPr>
          <w:rFonts w:ascii="Times New Roman;Times;Serif" w:hAnsi="Times New Roman;Times;Serif"/>
          <w:b w:val="false"/>
          <w:i w:val="false"/>
          <w:caps w:val="false"/>
          <w:smallCaps w:val="false"/>
          <w:color w:val="231F20"/>
          <w:sz w:val="20"/>
        </w:rPr>
        <w:t xml:space="preserve">225,000 </w:t>
      </w:r>
      <w:r>
        <w:rPr>
          <w:rFonts w:ascii="Times New Roman;Times;Serif" w:hAnsi="Times New Roman;Times;Serif"/>
          <w:b w:val="false"/>
          <w:i w:val="false"/>
          <w:caps w:val="false"/>
          <w:smallCaps w:val="false"/>
          <w:sz w:val="20"/>
        </w:rPr>
        <w:t>shares of Common Stock issuable by the Company upon exercise of an option granted by the Company to the underwriters).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to be issued and sold by the Company pursuant to the Underwriting Agreement, dated as of May 13, 2026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between the Company and Citigroup Global Markets Inc., BofA Securities, Inc. and Wells Fargo Securities, LLC, as representatives of the several underwriters named therein, the form of which is being filed with the Commission as Exhibit 1.1 to the Company’s Current Report on Form 8-K, filed on the date hereof.</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(i) investigated such questions of law, (ii) examined originals or certified, conformed or reproduction copies of such agreements, instruments, documents and records of the Company, such certificates of public officials and such other documents and (iii) received such information from officers and representatives of the Company as we have deemed necessary or appropriate for the purposes of this opinion.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such examinations, we have assumed the legal capacity of all natural persons, the genuineness of all signatures, the authenticity of original and certified documents and the conformity to original or certified documents of all copies submitted to us as conformed or reproduction copies. As to various questions of fact relevant to the opinion expressed herein, we have relied upon, and assume the accuracy of, the representations and warranties set forth in the Underwriting Agreement, and certificates and oral or written statements and other information of or from public officials and officers and representatives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limitations, qualifications and assumptions set forth herein, we are of the opinion that the Shares have been duly authorized for issuance, and when issued and paid for in accordance with the terms and conditions of the Underwriting Agreement, the Shares will be validly issued, fully paid and non-assessable.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limited to the applicable provisions of the New Jersey Business Corporation Act (the “</w:t>
      </w:r>
      <w:r>
        <w:rPr>
          <w:rFonts w:ascii="Times New Roman;Times;Serif" w:hAnsi="Times New Roman;Times;Serif"/>
          <w:b/>
          <w:i w:val="false"/>
          <w:caps w:val="false"/>
          <w:smallCaps w:val="false"/>
          <w:sz w:val="20"/>
        </w:rPr>
        <w:t>NJBCA</w:t>
      </w:r>
      <w:r>
        <w:rPr>
          <w:rFonts w:ascii="Times New Roman;Times;Serif" w:hAnsi="Times New Roman;Times;Serif"/>
          <w:b w:val="false"/>
          <w:i w:val="false"/>
          <w:caps w:val="false"/>
          <w:smallCaps w:val="false"/>
          <w:sz w:val="20"/>
        </w:rPr>
        <w:t>”), as currently in effect, and reported judicial decisions interpreting such provisions of the NJBCA.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limited to the matters stated herein and no opinion is implied or may be inferred beyond the matters expressly stated herein. We undertake no obligation to supplement this letter if any applicable laws change after the date hereof or if we become aware of any facts that might change the opinion expressed herein after that date or for any other reason.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8096250" cy="58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5810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tbl>
      <w:tblPr>
        <w:tblW w:w="2665" w:type="dxa"/>
        <w:jc w:val="left"/>
        <w:tblInd w:w="0" w:type="dxa"/>
        <w:tblLayout w:type="fixed"/>
        <w:tblCellMar>
          <w:top w:w="0" w:type="dxa"/>
          <w:left w:w="0" w:type="dxa"/>
          <w:bottom w:w="0" w:type="dxa"/>
          <w:right w:w="0" w:type="dxa"/>
        </w:tblCellMar>
      </w:tblPr>
      <w:tblGrid>
        <w:gridCol w:w="1295"/>
        <w:gridCol w:w="1370"/>
      </w:tblGrid>
      <w:tr>
        <w:trPr/>
        <w:tc>
          <w:tcPr>
            <w:tcW w:w="1295" w:type="dxa"/>
            <w:tcBorders/>
            <w:vAlign w:val="center"/>
          </w:tcPr>
          <w:p>
            <w:pPr>
              <w:pStyle w:val="TableContents"/>
              <w:bidi w:val="0"/>
              <w:spacing w:before="0" w:after="283"/>
              <w:jc w:val="left"/>
              <w:rPr/>
            </w:pPr>
            <w:r>
              <w:rPr/>
              <w:t>Bel Fuse Inc.</w:t>
            </w:r>
          </w:p>
        </w:tc>
        <w:tc>
          <w:tcPr>
            <w:tcW w:w="1370" w:type="dxa"/>
            <w:tcBorders/>
            <w:vAlign w:val="center"/>
          </w:tcPr>
          <w:p>
            <w:pPr>
              <w:pStyle w:val="TableContents"/>
              <w:bidi w:val="0"/>
              <w:spacing w:before="0" w:after="283"/>
              <w:jc w:val="right"/>
              <w:rPr/>
            </w:pPr>
            <w:r>
              <w:rPr/>
              <w:t>May 14, 2026</w:t>
            </w:r>
          </w:p>
        </w:tc>
      </w:tr>
      <w:tr>
        <w:trPr/>
        <w:tc>
          <w:tcPr>
            <w:tcW w:w="1295" w:type="dxa"/>
            <w:tcBorders/>
            <w:vAlign w:val="center"/>
          </w:tcPr>
          <w:p>
            <w:pPr>
              <w:pStyle w:val="TableContents"/>
              <w:bidi w:val="0"/>
              <w:spacing w:before="0" w:after="283"/>
              <w:jc w:val="left"/>
              <w:rPr/>
            </w:pPr>
            <w:r>
              <w:rPr/>
              <w:t>Page 2</w:t>
            </w:r>
          </w:p>
        </w:tc>
        <w:tc>
          <w:tcPr>
            <w:tcW w:w="1370"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Current Report on Form 8-K filed by the Company on the date hereof and which is incorporated by reference into the Registration Statement and to the references to this firm under the caption “Legal Matters” in the Prospectus Supplement. In giving these consents, we do not admit that we are “experts” within the meaning of Section 11 of the Securities Act or within the category of persons whose consent is required by Section 7 of the Securities Act.</w:t>
      </w:r>
    </w:p>
    <w:p>
      <w:pPr>
        <w:pStyle w:val="TextBody"/>
        <w:bidi w:val="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2270"/>
        <w:gridCol w:w="75"/>
      </w:tblGrid>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sz w:val="20"/>
              </w:rPr>
            </w:pPr>
            <w:r>
              <w:rPr>
                <w:sz w:val="20"/>
              </w:rPr>
              <w:t xml:space="preserve">/s/ </w:t>
            </w:r>
            <w:r>
              <w:rPr>
                <w:i/>
                <w:sz w:val="20"/>
              </w:rPr>
              <w:t>Lowenstein Sandler LLP</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sz w:val="20"/>
              </w:rPr>
            </w:pPr>
            <w:r>
              <w:rPr>
                <w:sz w:val="20"/>
              </w:rPr>
              <w:t>Lowenstein Sandler LLP</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2057400"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57400" cy="6286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right"/>
        <w:rPr>
          <w:b/>
        </w:rPr>
      </w:pPr>
      <w:bookmarkStart w:id="29" w:name="ea029004701ex99-1.htm"/>
      <w:bookmarkStart w:id="30" w:name="ksea029004701ex991"/>
      <w:bookmarkEnd w:id="29"/>
      <w:bookmarkEnd w:id="30"/>
      <w:r>
        <w:rPr>
          <w:b/>
        </w:rPr>
        <w:t>Exhibit 99.1</w:t>
      </w:r>
      <w:r>
        <w:br w:type="page"/>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Bel Fuse Inc. Announces Launch of Public Offering of Class B Common Stock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ORANGE, N.J., May 12, 2026 (GLOBE NEWSWIRE) -- </w:t>
      </w:r>
      <w:r>
        <w:rPr>
          <w:rFonts w:ascii="Times New Roman;Times;Serif" w:hAnsi="Times New Roman;Times;Serif"/>
          <w:b/>
          <w:i w:val="false"/>
          <w:caps w:val="false"/>
          <w:smallCaps w:val="false"/>
          <w:sz w:val="20"/>
        </w:rPr>
        <w:t>Bel Fuse Inc. (Nasdaq: BELFA and BELFB) (“Bel” or the “Company”)</w:t>
      </w:r>
      <w:r>
        <w:rPr>
          <w:rFonts w:ascii="Times New Roman;Times;Serif" w:hAnsi="Times New Roman;Times;Serif"/>
          <w:b w:val="false"/>
          <w:i w:val="false"/>
          <w:caps w:val="false"/>
          <w:smallCaps w:val="false"/>
          <w:sz w:val="20"/>
        </w:rPr>
        <w:t>, a leading global manufacturer of electronic components, systems and solutions, today announced the commencement of an underwritten offering of 1,300,000 shares of its Class B common stock. In addition, the Company intends to grant the underwriters a 30-day option to purchase up to an additional 195,000 shares of its Class B common stock at the public offering price, less underwriting discounts and commissions. The proposed offering is subject to market and other conditions, and there can be no assurance as to whether or when the offering may be completed, or as to the actual size or terms of the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currently intends to use the net proceeds from the proposed offering to pay down any outstanding indebtedness under its Credit and Security Agreement, fund the remaining 20% acquisition of Enercon Technologies, Ltd. or other acquisitions or partnership opportunities that may arise, and the remainder, if any, for general corporate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BofA Securities, and Wells Fargo Securities are acting as joint book-running managers for the proposed offering.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offering is being made pursuant to an automatic shelf registration statement on Form S-3 that was previously filed with the Securities and Exchange Commission (SEC) on May 12, 2026. This proposed offering is being made only by means of a prospectus supplement and accompanying prospectus that form a part of the registration statement. A preliminary prospectus supplement and accompanying prospectus related to the proposed offering will be filed with the SEC and will be available on the SEC’s website at www.sec.gov. Copies of the preliminary prospectus supplement and the accompanying prospectus relating to this proposed offering may also be obtained, when available, by contacting: Citigroup, c/o Broadridge Financial Solutions, 1155 Long Island Avenue, Edgewood, New York 11717 (Tel: 800-831-9146); BofA Securities, Inc., Attention: Prospectus Department, NC1-022-02-25, 201 North Tryon Street, Charlotte, North Carolina 28255-0001, or by email at dg.prospectus_requests@bofa.com; or Wells Fargo Securities, LLC, Attention: Equity Syndicate Department, 90 South 7th Street, 5th Floor, Minneapolis, Minnesota 55402, at (800) 645-3751 (option #5) or email a request to WFScustomerservice@wellsfargo.com.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designs, manufactures, and markets critical electronic components, systems and solutions for customers in aerospace, defense, industrial, and data-driven markets. Understanding that Bel’s customers face increasingly complex technical challenges, Bel delivers a comprehensive portfolio of solutions including power systems, high-reliability connectors and cable assemblies, circuit protection, and networking products that enable Original Equipment Manufacturers (OEMs) to bring their innovations to market. Bel partners closely with customers to deliver both customized and standard solutions tailored to their specific applications and performance requirements. With manufacturing facilities and technical support teams worldwide, Bel serves as a strategic partner to customers who require proven reliability in demanding end markets.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as amended, including, without limitation, express or implied statements related to Bel’s expectations regarding the timing of the proposed offering, the anticipated use of proceeds from the offering and the anticipated grant to the underwriters of an option to purchase additional shares. The words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These risks and uncertainties include fluctuations in Bel’s stock price, changes in market conditions, the completion of the public offering on the anticipated terms or at all and other risks identified in the Company’s SEC filings, including the Company’s Annual Report on Form 10-K for the year ended December 31, 2025 filed with the SEC on February 24, 2026, Quarterly Report on Form 10-Q for the quarter ended March 31, 2026 filed with the SEC on May 5, 2026, and in the preliminary prospectus supplement related to the proposed offering that Bel will file with the SEC.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Lynn Hutkin</w:t>
        <w:br/>
        <w:t>Chief Financial Officer</w:t>
        <w:br/>
        <w:t>ir.belf.com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Part Advisors</w:t>
        <w:br/>
        <w:t>Jean Marie Young, Managing Director or Steven Hooser, Partner</w:t>
        <w:br/>
        <w:t>631-418-4339</w:t>
        <w:br/>
        <w:t>jyoung@threepa.com; shooser@threepa.com</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jc w:val="right"/>
        <w:rPr>
          <w:b/>
          <w:sz w:val="20"/>
        </w:rPr>
      </w:pPr>
      <w:bookmarkStart w:id="31" w:name="ea029004701ex99-2.htm"/>
      <w:bookmarkStart w:id="32" w:name="ksea029004701ex992"/>
      <w:bookmarkEnd w:id="31"/>
      <w:bookmarkEnd w:id="32"/>
      <w:r>
        <w:rPr>
          <w:b/>
          <w:sz w:val="20"/>
        </w:rPr>
        <w:t>Exhibit 99.2</w:t>
      </w:r>
      <w:r>
        <w:br w:type="page"/>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Bel Fuse Inc. Announces Pricing of Upsized Public Offering of Class B Common Stock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ORANGE, N.J., May 13, 2026 (GLOBE NEWSWIRE) -- </w:t>
      </w:r>
      <w:r>
        <w:rPr>
          <w:rFonts w:ascii="Times New Roman;Times;Serif" w:hAnsi="Times New Roman;Times;Serif"/>
          <w:b/>
          <w:i w:val="false"/>
          <w:caps w:val="false"/>
          <w:smallCaps w:val="false"/>
          <w:sz w:val="20"/>
        </w:rPr>
        <w:t>Bel Fuse Inc. (Nasdaq: BELFA and BELFB) (“Bel” or the “Company”)</w:t>
      </w:r>
      <w:r>
        <w:rPr>
          <w:rFonts w:ascii="Times New Roman;Times;Serif" w:hAnsi="Times New Roman;Times;Serif"/>
          <w:b w:val="false"/>
          <w:i w:val="false"/>
          <w:caps w:val="false"/>
          <w:smallCaps w:val="false"/>
          <w:sz w:val="20"/>
        </w:rPr>
        <w:t>, a leading global manufacturer of electronic components, systems and solutions, today announced the pricing of the upsized underwritten offering of 1,500,000 shares of its Class B common stock. The shares of Class B common stock are being sold at an offering price of $266.00 per share. The aggregate gross proceeds to Bel from this offering are expected to be approximately $399.0 million, before deducting underwriting discounts and commissions and other offering expenses. In addition, the Company has granted the underwriters a 30-day option to purchase up to an additional 225,000 shares of its Class B common stock at the public offering price, less underwriting discounts and commissions. The offering is expected to close on May 15, 2026, subject to the satisfaction of customary closing conditions.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intends to use the net proceeds from the proposed offering to pay down any outstanding indebtedness under its Credit and Security Agreement, fund the remaining 20% acquisition of Enercon Technologies, Ltd. or other acquisitions or partnership opportunities that may arise, and the remainder, if any, for general corporate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BofA Securities, and Wells Fargo Securities are acting as joint lead book-running managers for the proposed transaction. Needham &amp; Company, Oppenheimer &amp; Co., Baird and BMO Capital Markets are acting as joint book-running managers, and Craig-Hallum and Northland Capital Markets are acting as co-managers for the proposed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offering is being made pursuant to an automatic shelf registration statement on Form S-3 (No. 333-295813), as amended, that was previously filed with the Securities and Exchange Commission (SEC) on May 12, 2026. This proposed offering is being made only by means of a prospectus supplement and accompanying prospectus that form a part of the registration statement. A final prospectus supplement and accompanying prospectus related to the proposed offering will be filed with the SEC and will be available on the SEC’s website at www.sec.gov. Copies of the final prospectus supplement and the accompanying prospectus relating to this proposed offering may also be obtained, when available, by contacting: Citigroup, c/o Broadridge Financial Solutions, 1155 Long Island Avenue, Edgewood, New York 11717 (Tel: 800-831-9146); BofA Securities, Inc., Attention: Prospectus Department, NC1-022-02-25, 201 North Tryon Street, Charlotte, North Carolina 28255-0001, or by email at dg.prospectus_requests@bofa.com; or Wells Fargo Securities, LLC, Attention: Equity Syndicate Department, 90 South 7th Street, 5th Floor, Minneapolis, Minnesota 55402, at (800) 645-3751 (option #5) or email a request to WFScustomerservice@wellsfargo.com.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 designs, manufactures, and markets critical electronic components, systems and solutions for customers in aerospace, defense, industrial, and data-driven markets. Understanding that Bel’s customers face increasingly complex technical challenges, Bel delivers a comprehensive portfolio of solutions including power systems, high-reliability connectors and cable assemblies, circuit protection, and networking products that enable Original Equipment Manufacturers (OEMs) to bring their innovations to market. Bel partners closely with customers to deliver both customized and standard solutions tailored to their specific applications and performance requirements. With manufacturing facilities and technical support teams worldwide, Bel serves as a strategic partner to customers who require proven reliability in demanding end markets.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as amended, including, without limitation, express or implied statements related to Bel’s expectations regarding the timing and closing of the offering, and the anticipated use of proceeds from the offering and the anticipated grant to the underwriters of an additional option to purchase shares. The words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These risks and uncertainties include fluctuations in Bel’s stock price, changes in market conditions, the satisfaction of customary closing conditions related to the underwritten offering, and other risks identified in the Company’s SEC filings, including the Company’s Annual Report on Form 10-K for the year ended December 31, 2025 filed with the SEC on February 24, 2026, Quarterly Report on Form 10-Q for the quarter ended March 31, 2026 filed with the SEC on May 5, 2026, and in the preliminary prospectus supplement related to the proposed offering that Bel will file with the SEC.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Lynn Hutkin</w:t>
        <w:br/>
        <w:t>Chief Financial Officer</w:t>
        <w:br/>
        <w:t>ir.belf.com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Part Advisors</w:t>
        <w:br/>
        <w:t>Jean Marie Young, Managing Director or Steven Hooser, Partner</w:t>
        <w:br/>
        <w:t>631-418-4339</w:t>
        <w:br/>
        <w:t>jyoung@threepa.com;shooser@threepa.com</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23552</Words>
  <Characters>126379</Characters>
  <CharactersWithSpaces>149918</CharactersWithSpaces>
  <Paragraphs>983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