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177165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580" w:right="1520" w:hanging="572"/>
        <w:spacing w:after="0" w:line="253"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580" w:right="1500" w:hanging="572"/>
        <w:spacing w:after="0" w:line="266" w:lineRule="auto"/>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000-11676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191135</wp:posOffset>
            </wp:positionV>
            <wp:extent cx="720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BEL FUSE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31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New Jersey</w:t>
            </w:r>
          </w:p>
        </w:tc>
        <w:tc>
          <w:tcPr>
            <w:tcW w:w="5800" w:type="dxa"/>
            <w:vAlign w:val="bottom"/>
            <w:gridSpan w:val="3"/>
          </w:tcPr>
          <w:p>
            <w:pPr>
              <w:jc w:val="right"/>
              <w:ind w:right="1570"/>
              <w:spacing w:after="0"/>
              <w:rPr>
                <w:sz w:val="20"/>
                <w:szCs w:val="20"/>
                <w:color w:val="auto"/>
              </w:rPr>
            </w:pPr>
            <w:r>
              <w:rPr>
                <w:rFonts w:ascii="Times New Roman" w:cs="Times New Roman" w:eastAsia="Times New Roman" w:hAnsi="Times New Roman"/>
                <w:sz w:val="18"/>
                <w:szCs w:val="18"/>
                <w:color w:val="auto"/>
              </w:rPr>
              <w:t>22-1463699</w:t>
            </w:r>
          </w:p>
        </w:tc>
      </w:tr>
      <w:tr>
        <w:trPr>
          <w:trHeight w:val="228"/>
        </w:trPr>
        <w:tc>
          <w:tcPr>
            <w:tcW w:w="3180" w:type="dxa"/>
            <w:vAlign w:val="bottom"/>
            <w:tcBorders>
              <w:top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10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5"/>
        </w:trPr>
        <w:tc>
          <w:tcPr>
            <w:tcW w:w="3180" w:type="dxa"/>
            <w:vAlign w:val="bottom"/>
          </w:tcPr>
          <w:p>
            <w:pPr>
              <w:spacing w:after="0"/>
              <w:rPr>
                <w:sz w:val="24"/>
                <w:szCs w:val="24"/>
                <w:color w:val="auto"/>
              </w:rPr>
            </w:pPr>
          </w:p>
        </w:tc>
        <w:tc>
          <w:tcPr>
            <w:tcW w:w="5800" w:type="dxa"/>
            <w:vAlign w:val="bottom"/>
            <w:gridSpan w:val="3"/>
          </w:tcPr>
          <w:p>
            <w:pPr>
              <w:jc w:val="center"/>
              <w:ind w:right="3050"/>
              <w:spacing w:after="0"/>
              <w:rPr>
                <w:sz w:val="20"/>
                <w:szCs w:val="20"/>
                <w:color w:val="auto"/>
              </w:rPr>
            </w:pPr>
            <w:r>
              <w:rPr>
                <w:rFonts w:ascii="Times New Roman" w:cs="Times New Roman" w:eastAsia="Times New Roman" w:hAnsi="Times New Roman"/>
                <w:sz w:val="18"/>
                <w:szCs w:val="18"/>
                <w:color w:val="auto"/>
                <w:w w:val="99"/>
              </w:rPr>
              <w:t>300 Executive Drive, Suite 300</w:t>
            </w:r>
          </w:p>
        </w:tc>
      </w:tr>
      <w:tr>
        <w:trPr>
          <w:trHeight w:val="234"/>
        </w:trPr>
        <w:tc>
          <w:tcPr>
            <w:tcW w:w="3180" w:type="dxa"/>
            <w:vAlign w:val="bottom"/>
          </w:tcPr>
          <w:p>
            <w:pPr>
              <w:spacing w:after="0"/>
              <w:rPr>
                <w:sz w:val="20"/>
                <w:szCs w:val="20"/>
                <w:color w:val="auto"/>
              </w:rPr>
            </w:pPr>
          </w:p>
        </w:tc>
        <w:tc>
          <w:tcPr>
            <w:tcW w:w="5800" w:type="dxa"/>
            <w:vAlign w:val="bottom"/>
            <w:gridSpan w:val="3"/>
          </w:tcPr>
          <w:p>
            <w:pPr>
              <w:jc w:val="center"/>
              <w:ind w:right="3070"/>
              <w:spacing w:after="0"/>
              <w:rPr>
                <w:sz w:val="20"/>
                <w:szCs w:val="20"/>
                <w:color w:val="auto"/>
              </w:rPr>
            </w:pPr>
            <w:r>
              <w:rPr>
                <w:rFonts w:ascii="Times New Roman" w:cs="Times New Roman" w:eastAsia="Times New Roman" w:hAnsi="Times New Roman"/>
                <w:sz w:val="18"/>
                <w:szCs w:val="18"/>
                <w:color w:val="auto"/>
              </w:rPr>
              <w:t>West Orange, NJ 07052</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(201) 432-0463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11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Title of Each Class</w:t>
            </w:r>
          </w:p>
        </w:tc>
        <w:tc>
          <w:tcPr>
            <w:tcW w:w="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50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Exchange on Which Registered</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($0.10 par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8"/>
                <w:szCs w:val="18"/>
                <w:color w:val="auto"/>
                <w:w w:val="98"/>
              </w:rPr>
              <w:t>BELFA</w:t>
            </w: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384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8"/>
                <w:szCs w:val="18"/>
                <w:color w:val="auto"/>
              </w:rPr>
              <w:t>value)</w:t>
            </w:r>
          </w:p>
        </w:tc>
        <w:tc>
          <w:tcPr>
            <w:tcW w:w="2140" w:type="dxa"/>
            <w:vAlign w:val="bottom"/>
            <w:gridSpan w:val="2"/>
            <w:vMerge w:val="continue"/>
          </w:tcPr>
          <w:p>
            <w:pPr>
              <w:spacing w:after="0"/>
              <w:rPr>
                <w:sz w:val="10"/>
                <w:szCs w:val="10"/>
                <w:color w:val="auto"/>
              </w:rPr>
            </w:pPr>
          </w:p>
        </w:tc>
        <w:tc>
          <w:tcPr>
            <w:tcW w:w="3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Class B Common Stock ($0.10 par</w:t>
            </w:r>
          </w:p>
        </w:tc>
        <w:tc>
          <w:tcPr>
            <w:tcW w:w="214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8"/>
                <w:szCs w:val="18"/>
                <w:color w:val="auto"/>
                <w:w w:val="99"/>
              </w:rPr>
              <w:t>BELFB</w:t>
            </w:r>
          </w:p>
        </w:tc>
        <w:tc>
          <w:tcPr>
            <w:tcW w:w="3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384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8"/>
                <w:szCs w:val="18"/>
                <w:color w:val="auto"/>
              </w:rPr>
              <w:t>value)</w:t>
            </w:r>
          </w:p>
        </w:tc>
        <w:tc>
          <w:tcPr>
            <w:tcW w:w="2140" w:type="dxa"/>
            <w:vAlign w:val="bottom"/>
            <w:gridSpan w:val="2"/>
            <w:vMerge w:val="continue"/>
          </w:tcPr>
          <w:p>
            <w:pPr>
              <w:spacing w:after="0"/>
              <w:rPr>
                <w:sz w:val="10"/>
                <w:szCs w:val="10"/>
                <w:color w:val="auto"/>
              </w:rPr>
            </w:pPr>
          </w:p>
        </w:tc>
        <w:tc>
          <w:tcPr>
            <w:tcW w:w="3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0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Securities Exchange Act of 1934 during the preceding 12 months (or for such shorter period that the registrant was required</w:t>
            </w:r>
          </w:p>
        </w:tc>
        <w:tc>
          <w:tcPr>
            <w:tcW w:w="780" w:type="dxa"/>
            <w:vAlign w:val="bottom"/>
            <w:vMerge w:val="restart"/>
          </w:tcPr>
          <w:p>
            <w:pPr>
              <w:ind w:left="36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303"/>
        </w:trPr>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file such reports), and (2) has been subject to such filing requirements for the past 90 days.</w:t>
            </w:r>
          </w:p>
        </w:tc>
        <w:tc>
          <w:tcPr>
            <w:tcW w:w="3360" w:type="dxa"/>
            <w:vAlign w:val="bottom"/>
            <w:gridSpan w:val="2"/>
          </w:tcPr>
          <w:p>
            <w:pPr>
              <w:ind w:left="25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0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submitted pursuant to Rule 405 of Regulation S-T (§232.405 of this chapter) during the preceding 12 months (or for such</w:t>
            </w:r>
          </w:p>
        </w:tc>
        <w:tc>
          <w:tcPr>
            <w:tcW w:w="780" w:type="dxa"/>
            <w:vAlign w:val="bottom"/>
            <w:vMerge w:val="restart"/>
          </w:tcPr>
          <w:p>
            <w:pPr>
              <w:ind w:left="36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303"/>
        </w:trPr>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shorter period that the registrant was required to submit such files).</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gridSpan w:val="2"/>
          </w:tcPr>
          <w:p>
            <w:pPr>
              <w:ind w:left="25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Large accelerated</w:t>
            </w:r>
          </w:p>
        </w:tc>
        <w:tc>
          <w:tcPr>
            <w:tcW w:w="2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Accelerated</w:t>
            </w: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Smaller reporting</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Emerging growth</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filer</w:t>
            </w:r>
          </w:p>
        </w:tc>
        <w:tc>
          <w:tcPr>
            <w:tcW w:w="2740" w:type="dxa"/>
            <w:vAlign w:val="bottom"/>
          </w:tcPr>
          <w:p>
            <w:pPr>
              <w:jc w:val="center"/>
              <w:ind w:right="190"/>
              <w:spacing w:after="0" w:line="207" w:lineRule="exact"/>
              <w:rPr>
                <w:sz w:val="20"/>
                <w:szCs w:val="20"/>
                <w:color w:val="auto"/>
              </w:rPr>
            </w:pPr>
            <w:r>
              <w:rPr>
                <w:rFonts w:ascii="Times New Roman" w:cs="Times New Roman" w:eastAsia="Times New Roman" w:hAnsi="Times New Roman"/>
                <w:sz w:val="18"/>
                <w:szCs w:val="18"/>
                <w:color w:val="auto"/>
                <w:w w:val="95"/>
              </w:rPr>
              <w:t xml:space="preserve">filer </w:t>
            </w:r>
            <w:r>
              <w:rPr>
                <w:rFonts w:ascii="MS PGothic" w:cs="MS PGothic" w:eastAsia="MS PGothic" w:hAnsi="MS PGothic"/>
                <w:sz w:val="18"/>
                <w:szCs w:val="18"/>
                <w:color w:val="auto"/>
                <w:w w:val="95"/>
              </w:rPr>
              <w:t>☐</w:t>
            </w:r>
          </w:p>
        </w:tc>
        <w:tc>
          <w:tcPr>
            <w:tcW w:w="18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color w:val="auto"/>
              </w:rPr>
              <w:t>Non-accelerated</w:t>
            </w:r>
          </w:p>
        </w:tc>
        <w:tc>
          <w:tcPr>
            <w:tcW w:w="2540" w:type="dxa"/>
            <w:vAlign w:val="bottom"/>
          </w:tcPr>
          <w:p>
            <w:pPr>
              <w:jc w:val="center"/>
              <w:ind w:right="90"/>
              <w:spacing w:after="0" w:line="207" w:lineRule="exact"/>
              <w:rPr>
                <w:sz w:val="20"/>
                <w:szCs w:val="20"/>
                <w:color w:val="auto"/>
              </w:rPr>
            </w:pPr>
            <w:r>
              <w:rPr>
                <w:rFonts w:ascii="Times New Roman" w:cs="Times New Roman" w:eastAsia="Times New Roman" w:hAnsi="Times New Roman"/>
                <w:sz w:val="18"/>
                <w:szCs w:val="18"/>
                <w:color w:val="auto"/>
                <w:w w:val="99"/>
              </w:rPr>
              <w:t xml:space="preserve">company </w:t>
            </w:r>
            <w:r>
              <w:rPr>
                <w:rFonts w:ascii="MS PGothic" w:cs="MS PGothic" w:eastAsia="MS PGothic" w:hAnsi="MS PGothic"/>
                <w:sz w:val="18"/>
                <w:szCs w:val="18"/>
                <w:color w:val="auto"/>
                <w:w w:val="99"/>
              </w:rPr>
              <w:t>☐</w:t>
            </w:r>
          </w:p>
        </w:tc>
        <w:tc>
          <w:tcPr>
            <w:tcW w:w="1540" w:type="dxa"/>
            <w:vAlign w:val="bottom"/>
            <w:gridSpan w:val="2"/>
          </w:tcPr>
          <w:p>
            <w:pPr>
              <w:jc w:val="right"/>
              <w:ind w:right="220"/>
              <w:spacing w:after="0" w:line="207" w:lineRule="exact"/>
              <w:rPr>
                <w:sz w:val="20"/>
                <w:szCs w:val="20"/>
                <w:color w:val="auto"/>
              </w:rPr>
            </w:pPr>
            <w:r>
              <w:rPr>
                <w:rFonts w:ascii="Times New Roman" w:cs="Times New Roman" w:eastAsia="Times New Roman" w:hAnsi="Times New Roman"/>
                <w:sz w:val="18"/>
                <w:szCs w:val="18"/>
                <w:color w:val="auto"/>
              </w:rPr>
              <w:t xml:space="preserve">company </w:t>
            </w:r>
            <w:r>
              <w:rPr>
                <w:rFonts w:ascii="MS PGothic" w:cs="MS PGothic" w:eastAsia="MS PGothic" w:hAnsi="MS PGothic"/>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160" w:type="dxa"/>
            <w:vAlign w:val="bottom"/>
            <w:gridSpan w:val="2"/>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center"/>
              <w:ind w:right="670"/>
              <w:spacing w:after="0" w:line="207" w:lineRule="exact"/>
              <w:rPr>
                <w:sz w:val="20"/>
                <w:szCs w:val="20"/>
                <w:color w:val="auto"/>
              </w:rPr>
            </w:pPr>
            <w:r>
              <w:rPr>
                <w:rFonts w:ascii="Times New Roman" w:cs="Times New Roman" w:eastAsia="Times New Roman" w:hAnsi="Times New Roman"/>
                <w:sz w:val="18"/>
                <w:szCs w:val="18"/>
                <w:color w:val="auto"/>
                <w:w w:val="98"/>
              </w:rPr>
              <w:t xml:space="preserve">filer </w:t>
            </w:r>
            <w:r>
              <w:rPr>
                <w:rFonts w:ascii="MS PGothic" w:cs="MS PGothic" w:eastAsia="MS PGothic" w:hAnsi="MS PGothic"/>
                <w:sz w:val="18"/>
                <w:szCs w:val="18"/>
                <w:color w:val="auto"/>
                <w:w w:val="98"/>
              </w:rPr>
              <w:t>☐</w:t>
            </w: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 complying with any new or revised financial accounting standards provided pursuant to Section 13(a) of the Exchange</w:t>
            </w:r>
          </w:p>
        </w:tc>
        <w:tc>
          <w:tcPr>
            <w:tcW w:w="1540" w:type="dxa"/>
            <w:vAlign w:val="bottom"/>
            <w:gridSpan w:val="2"/>
            <w:vMerge w:val="restart"/>
          </w:tcPr>
          <w:p>
            <w:pPr>
              <w:jc w:val="right"/>
              <w:ind w:right="6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w:t>
            </w:r>
          </w:p>
        </w:tc>
        <w:tc>
          <w:tcPr>
            <w:tcW w:w="2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1540" w:type="dxa"/>
            <w:vAlign w:val="bottom"/>
            <w:gridSpan w:val="2"/>
          </w:tcPr>
          <w:p>
            <w:pPr>
              <w:jc w:val="right"/>
              <w:ind w:right="6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46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384"/>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i w:val="1"/>
                <w:iCs w:val="1"/>
                <w:color w:val="auto"/>
                <w:w w:val="99"/>
              </w:rPr>
              <w:t>Number of Shares of Common Stock Outstanding</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44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as of October 31, 2025</w:t>
            </w:r>
          </w:p>
        </w:tc>
        <w:tc>
          <w:tcPr>
            <w:tcW w:w="86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3780" w:type="dxa"/>
            <w:vAlign w:val="bottom"/>
            <w:gridSpan w:val="2"/>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($0.10 par value)</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40" w:type="dxa"/>
            <w:vAlign w:val="bottom"/>
          </w:tcPr>
          <w:p>
            <w:pPr>
              <w:jc w:val="right"/>
              <w:ind w:right="810"/>
              <w:spacing w:after="0" w:line="191" w:lineRule="exact"/>
              <w:rPr>
                <w:sz w:val="20"/>
                <w:szCs w:val="20"/>
                <w:color w:val="auto"/>
              </w:rPr>
            </w:pPr>
            <w:r>
              <w:rPr>
                <w:rFonts w:ascii="Times New Roman" w:cs="Times New Roman" w:eastAsia="Times New Roman" w:hAnsi="Times New Roman"/>
                <w:sz w:val="18"/>
                <w:szCs w:val="18"/>
                <w:color w:val="auto"/>
              </w:rPr>
              <w:t>2,115,263</w:t>
            </w: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7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Class B Common Stock ($0.10 par value)</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10,545,300</w:t>
            </w: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00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6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color w:val="auto"/>
                <w:w w:val="99"/>
              </w:rPr>
              <w:t>BEL FUSE INC. AND SUBSIDIARIES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6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color w:val="auto"/>
                <w:w w:val="99"/>
              </w:rPr>
              <w:t>FORM 10-Q INDEX</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800" w:type="dxa"/>
            <w:vAlign w:val="bottom"/>
            <w:gridSpan w:val="3"/>
            <w:vMerge w:val="restart"/>
          </w:tcPr>
          <w:p>
            <w:pPr>
              <w:spacing w:after="0"/>
              <w:rPr>
                <w:sz w:val="24"/>
                <w:szCs w:val="24"/>
                <w:color w:val="auto"/>
              </w:rPr>
            </w:pPr>
          </w:p>
        </w:tc>
        <w:tc>
          <w:tcPr>
            <w:tcW w:w="90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1"/>
        </w:trPr>
        <w:tc>
          <w:tcPr>
            <w:tcW w:w="800" w:type="dxa"/>
            <w:vAlign w:val="bottom"/>
            <w:tcBorders>
              <w:bottom w:val="single" w:sz="8" w:color="auto"/>
            </w:tcBorders>
            <w:vMerge w:val="continue"/>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9080" w:type="dxa"/>
            <w:vAlign w:val="bottom"/>
            <w:gridSpan w:val="15"/>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1.</w:t>
            </w:r>
          </w:p>
        </w:tc>
        <w:tc>
          <w:tcPr>
            <w:tcW w:w="2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5"/>
              </w:rPr>
              <w:t>Financial Statements (unaudited)</w:t>
            </w:r>
          </w:p>
        </w:tc>
        <w:tc>
          <w:tcPr>
            <w:tcW w:w="6760" w:type="dxa"/>
            <w:vAlign w:val="bottom"/>
            <w:gridSpan w:val="10"/>
          </w:tcPr>
          <w:p>
            <w:pPr>
              <w:spacing w:after="0"/>
              <w:rPr>
                <w:sz w:val="24"/>
                <w:szCs w:val="24"/>
                <w:color w:val="auto"/>
              </w:rPr>
            </w:pPr>
          </w:p>
        </w:tc>
        <w:tc>
          <w:tcPr>
            <w:tcW w:w="38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color w:val="0000EE"/>
                <w:w w:val="88"/>
              </w:rPr>
              <w:t>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as of September 30, 2025 and December 31, 2024</w:t>
            </w:r>
          </w:p>
        </w:tc>
        <w:tc>
          <w:tcPr>
            <w:tcW w:w="1620" w:type="dxa"/>
            <w:vAlign w:val="bottom"/>
            <w:gridSpan w:val="5"/>
          </w:tcPr>
          <w:p>
            <w:pPr>
              <w:spacing w:after="0"/>
              <w:rPr>
                <w:sz w:val="24"/>
                <w:szCs w:val="24"/>
                <w:color w:val="auto"/>
              </w:rPr>
            </w:pPr>
          </w:p>
        </w:tc>
        <w:tc>
          <w:tcPr>
            <w:tcW w:w="38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color w:val="0000EE"/>
                <w:w w:val="88"/>
              </w:rPr>
              <w:t>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and Nine Months Ended September 30, 2025</w:t>
            </w: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380" w:type="dxa"/>
            <w:vAlign w:val="bottom"/>
            <w:gridSpan w:val="7"/>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(unaudited) for the Three and Nine Months Ended September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30, 2025 and 2024</w:t>
            </w:r>
          </w:p>
        </w:tc>
        <w:tc>
          <w:tcPr>
            <w:tcW w:w="7760" w:type="dxa"/>
            <w:vAlign w:val="bottom"/>
            <w:gridSpan w:val="12"/>
          </w:tcPr>
          <w:p>
            <w:pPr>
              <w:spacing w:after="0"/>
              <w:rPr>
                <w:sz w:val="17"/>
                <w:szCs w:val="17"/>
                <w:color w:val="auto"/>
              </w:rPr>
            </w:pPr>
          </w:p>
        </w:tc>
        <w:tc>
          <w:tcPr>
            <w:tcW w:w="380" w:type="dxa"/>
            <w:vAlign w:val="bottom"/>
            <w:gridSpan w:val="7"/>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Shareholders' Equity and Redeemable Noncontrolling Interest (unaudited) for the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Three and Nine Months Ended September 30, 2025 and 2024</w:t>
            </w:r>
          </w:p>
        </w:tc>
        <w:tc>
          <w:tcPr>
            <w:tcW w:w="4300" w:type="dxa"/>
            <w:vAlign w:val="bottom"/>
            <w:tcBorders>
              <w:top w:val="single" w:sz="8" w:color="0000EE"/>
            </w:tcBorders>
            <w:gridSpan w:val="4"/>
          </w:tcPr>
          <w:p>
            <w:pPr>
              <w:spacing w:after="0"/>
              <w:rPr>
                <w:sz w:val="17"/>
                <w:szCs w:val="17"/>
                <w:color w:val="auto"/>
              </w:rPr>
            </w:pPr>
          </w:p>
        </w:tc>
        <w:tc>
          <w:tcPr>
            <w:tcW w:w="360" w:type="dxa"/>
            <w:vAlign w:val="bottom"/>
            <w:gridSpan w:val="4"/>
          </w:tcPr>
          <w:p>
            <w:pPr>
              <w:spacing w:after="0"/>
              <w:rPr>
                <w:sz w:val="17"/>
                <w:szCs w:val="17"/>
                <w:color w:val="auto"/>
              </w:rPr>
            </w:pPr>
          </w:p>
        </w:tc>
        <w:tc>
          <w:tcPr>
            <w:tcW w:w="380" w:type="dxa"/>
            <w:vAlign w:val="bottom"/>
            <w:gridSpan w:val="7"/>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for the Nine Months Ended September 30, 2025 and 2024</w:t>
            </w:r>
          </w:p>
        </w:tc>
        <w:tc>
          <w:tcPr>
            <w:tcW w:w="38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color w:val="0000EE"/>
                <w:w w:val="88"/>
              </w:rPr>
              <w:t>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280" w:type="dxa"/>
            <w:vAlign w:val="bottom"/>
            <w:gridSpan w:val="3"/>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 xml:space="preserve">8 </w:t>
            </w:r>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EE"/>
                <w:w w:val="99"/>
              </w:rPr>
              <w:t xml:space="preserve"> 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gridSpan w:val="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rPr>
              <w:t xml:space="preserve">27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100" w:type="dxa"/>
            <w:vAlign w:val="bottom"/>
            <w:gridSpan w:val="3"/>
          </w:tcPr>
          <w:p>
            <w:pPr>
              <w:spacing w:after="0"/>
              <w:rPr>
                <w:sz w:val="24"/>
                <w:szCs w:val="24"/>
                <w:color w:val="auto"/>
              </w:rPr>
            </w:pPr>
          </w:p>
        </w:tc>
        <w:tc>
          <w:tcPr>
            <w:tcW w:w="26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shd w:val="clear" w:color="auto" w:fill="0000EE"/>
          </w:tcPr>
          <w:p>
            <w:pPr>
              <w:spacing w:after="0" w:line="20" w:lineRule="exact"/>
              <w:rPr>
                <w:sz w:val="1"/>
                <w:szCs w:val="1"/>
                <w:color w:val="auto"/>
              </w:rPr>
            </w:pPr>
          </w:p>
        </w:tc>
        <w:tc>
          <w:tcPr>
            <w:tcW w:w="4740" w:type="dxa"/>
            <w:vAlign w:val="bottom"/>
            <w:tcBorders>
              <w:left w:val="single" w:sz="8" w:color="0000EE"/>
            </w:tcBorders>
            <w:gridSpan w:val="9"/>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740" w:type="dxa"/>
            <w:vAlign w:val="bottom"/>
            <w:gridSpan w:val="9"/>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 II</w:t>
            </w:r>
          </w:p>
        </w:tc>
        <w:tc>
          <w:tcPr>
            <w:tcW w:w="800" w:type="dxa"/>
            <w:vAlign w:val="bottom"/>
            <w:gridSpan w:val="3"/>
          </w:tcPr>
          <w:p>
            <w:pPr>
              <w:spacing w:after="0"/>
              <w:rPr>
                <w:sz w:val="24"/>
                <w:szCs w:val="24"/>
                <w:color w:val="auto"/>
              </w:rPr>
            </w:pPr>
          </w:p>
        </w:tc>
        <w:tc>
          <w:tcPr>
            <w:tcW w:w="1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3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7760" w:type="dxa"/>
            <w:vAlign w:val="bottom"/>
            <w:gridSpan w:val="12"/>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760" w:type="dxa"/>
            <w:vAlign w:val="bottom"/>
            <w:gridSpan w:val="12"/>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tcBorders>
              <w:left w:val="single" w:sz="8" w:color="0000EE"/>
            </w:tcBorders>
            <w:shd w:val="clear" w:color="auto" w:fill="0000EE"/>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740" w:type="dxa"/>
            <w:vAlign w:val="bottom"/>
            <w:gridSpan w:val="9"/>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760" w:type="dxa"/>
            <w:vAlign w:val="bottom"/>
            <w:gridSpan w:val="10"/>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tcPr>
          <w:p>
            <w:pPr>
              <w:spacing w:after="0"/>
              <w:rPr>
                <w:sz w:val="24"/>
                <w:szCs w:val="24"/>
                <w:color w:val="auto"/>
              </w:rPr>
            </w:pPr>
          </w:p>
        </w:tc>
        <w:tc>
          <w:tcPr>
            <w:tcW w:w="7320" w:type="dxa"/>
            <w:vAlign w:val="bottom"/>
            <w:gridSpan w:val="11"/>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7760" w:type="dxa"/>
            <w:vAlign w:val="bottom"/>
            <w:gridSpan w:val="12"/>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Exhibits</w:t>
            </w:r>
          </w:p>
        </w:tc>
        <w:tc>
          <w:tcPr>
            <w:tcW w:w="7760" w:type="dxa"/>
            <w:vAlign w:val="bottom"/>
            <w:gridSpan w:val="12"/>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EE"/>
                <w:w w:val="99"/>
              </w:rPr>
              <w:t>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the “Company,” “Bel,” “we,” “us,” and “our” as used in this report refer to Bel Fuse Inc. and its consolidated subsidiaries unless otherwise specified.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consolidated operating results are affected by a wide variety of factors that could materially and adversely affect revenues and profitability, including the risk factors described in Item 1A of our Annual Report on Form 10-K for the fiscal year ended December 31, 2024 (our “2024 Annual Report on Form 10-K”), and the risks and other factors described in this and our other Quarterly Reports on Form 10-Q, and in our other reports and documents that we have filed or may file from time to time with the Securities and Exchange Commission ("SEC"). As a result of these and other factors, the Company may experience material fluctuations in future operating results on a quarterly or annual basis, which could materially and adversely affect its business, consolidated financial condition, operating results, and common stock prices. Furthermore, this document and other reports and documents filed by the Company with the SEC contain certain forward-looking statements under the Private Securities Litigation Reform Act of 1995 ("Forward-Looking Statements") with respect to the business of the Company. Forward-Looking Statements are necessarily subject to risks and uncertainties, many of which are outside our control, that could cause actual results to differ materially from these statements. Forward-Looking Statements can be identified by such words as "anticipates," "believes," "plan," "assumes," "could," "should," "estimates," "forecasts," "projects," "expects," "intends," "potential," "seek," "predict," "may," "will" and similar references to future periods. All statements other than statements of historical facts included in this report regarding our strategies, prospects, financial condition, operations, costs, plans and objectives are Forward-Looking Statements.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subject to certain risks and uncertainties, including those detailed in Item 1A of our 2024 Annual Report on Form 10-K, and the risks and other factors described in this and our other Quarterly Reports on Form 10-Q, and in our other reports and documents that we have filed or may file from time to time with the SEC, which could cause actual results to differ materially from these Forward-Looking Statements. Any Forward-Looking Statements are qualified in the entirety by reference to such risk factors discussed throughout our 2024 Annual Report on Form 10-K, in this and our other Quarterly Reports on Form 10-Q and as described in our other reports and documents filed from time to time with the SEC. Some of the risks, uncertainties and assumptions that could cause actual results to differ materially from estimates or projections contained in the Forward-Looking Statements include but are not limited to:</w:t>
      </w:r>
    </w:p>
    <w:p>
      <w:pPr>
        <w:spacing w:after="0" w:line="189" w:lineRule="exact"/>
        <w:rPr>
          <w:sz w:val="20"/>
          <w:szCs w:val="20"/>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concerns facing our customers, and risks for our business in the event of the loss of certain substantial customers;</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viability of sectors that rely on our products;</w:t>
      </w:r>
    </w:p>
    <w:p>
      <w:pPr>
        <w:spacing w:after="0" w:line="225" w:lineRule="exact"/>
        <w:rPr>
          <w:rFonts w:ascii="Times New Roman" w:cs="Times New Roman" w:eastAsia="Times New Roman" w:hAnsi="Times New Roman"/>
          <w:sz w:val="18"/>
          <w:szCs w:val="18"/>
          <w:color w:val="auto"/>
        </w:rPr>
      </w:pPr>
    </w:p>
    <w:p>
      <w:pPr>
        <w:ind w:left="680" w:hanging="21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business and economic conditions, and challenges impacting the macroeconomic environment generally and/or our industry in particular;</w:t>
      </w:r>
    </w:p>
    <w:p>
      <w:pPr>
        <w:spacing w:after="0" w:line="161"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rising input costs, and cost changes generally, including the potential impact and effects of inflationary pressures;</w:t>
      </w:r>
    </w:p>
    <w:p>
      <w:pPr>
        <w:spacing w:after="0" w:line="225" w:lineRule="exact"/>
        <w:rPr>
          <w:rFonts w:ascii="Times New Roman" w:cs="Times New Roman" w:eastAsia="Times New Roman" w:hAnsi="Times New Roman"/>
          <w:sz w:val="18"/>
          <w:szCs w:val="18"/>
          <w:color w:val="auto"/>
        </w:rPr>
      </w:pPr>
    </w:p>
    <w:p>
      <w:pPr>
        <w:jc w:val="both"/>
        <w:ind w:left="680" w:hanging="213"/>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integrating previously acquired companies, including any unanticipated difficulties, or unexpected or higher than anticipated expenditures, relating to Bel’s November 2024 acquisition of our majority 80% owned subsidiary Enercon Technologies, Ltd. (“Enercon”), and including, without limitation, the risk that we are unable to integrate the Enercon business successfully or difficulties that result in the failure to realize the expected benefits and synergies within the expected time period (if at all);</w:t>
      </w:r>
    </w:p>
    <w:p>
      <w:pPr>
        <w:spacing w:after="0" w:line="179" w:lineRule="exact"/>
        <w:rPr>
          <w:rFonts w:ascii="Times New Roman" w:cs="Times New Roman" w:eastAsia="Times New Roman" w:hAnsi="Times New Roman"/>
          <w:sz w:val="18"/>
          <w:szCs w:val="18"/>
          <w:color w:val="auto"/>
        </w:rPr>
      </w:pPr>
    </w:p>
    <w:p>
      <w:pPr>
        <w:jc w:val="both"/>
        <w:ind w:left="680" w:right="20" w:hanging="213"/>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intended acquisition of the remaining 20% stake in Enercon is not completed in accordance with the shareholders' agreement as contemplated for any reason, and any resulting disruptions to our business and our currently 80% owned Enercon subsidiary as a result thereof;</w:t>
      </w:r>
    </w:p>
    <w:p>
      <w:pPr>
        <w:spacing w:after="0" w:line="175" w:lineRule="exact"/>
        <w:rPr>
          <w:rFonts w:ascii="Times New Roman" w:cs="Times New Roman" w:eastAsia="Times New Roman" w:hAnsi="Times New Roman"/>
          <w:sz w:val="18"/>
          <w:szCs w:val="18"/>
          <w:color w:val="auto"/>
        </w:rPr>
      </w:pPr>
    </w:p>
    <w:p>
      <w:pPr>
        <w:jc w:val="both"/>
        <w:ind w:left="680" w:hanging="213"/>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demand which can affect our products and results, and market and economic factors impacting Enercon’s business, including trends in demand in Enercon’s aerospace and defense end markets which can be cyclical, as well as the impact of any reductions in defense spending, any of which factors could materially adversely affect the demand for and corresponding sales of such products;</w:t>
      </w:r>
    </w:p>
    <w:p>
      <w:pPr>
        <w:spacing w:after="0" w:line="17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supply constraints or difficulties, including supply chain constraints or other challenges;</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potential future outbreaks, epidemics or pandemics;</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availability of labor, and the risks of any labor unrest or labor shortages;</w:t>
      </w:r>
    </w:p>
    <w:p>
      <w:pPr>
        <w:spacing w:after="0" w:line="225" w:lineRule="exact"/>
        <w:rPr>
          <w:rFonts w:ascii="Times New Roman" w:cs="Times New Roman" w:eastAsia="Times New Roman" w:hAnsi="Times New Roman"/>
          <w:sz w:val="18"/>
          <w:szCs w:val="18"/>
          <w:color w:val="auto"/>
        </w:rPr>
      </w:pPr>
    </w:p>
    <w:p>
      <w:pPr>
        <w:jc w:val="both"/>
        <w:ind w:left="680" w:right="20" w:hanging="213"/>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 including our substantial manufacturing operations in the People’s Republic of China (the “PRC”), and following our November 2024 acquisition of Enercon, risks associated with operations in Israel, which may be adversely affected by political or economic instability, major hostilities or acts of terrorism in the region;</w:t>
      </w:r>
    </w:p>
    <w:p>
      <w:pPr>
        <w:spacing w:after="0" w:line="175" w:lineRule="exact"/>
        <w:rPr>
          <w:rFonts w:ascii="Times New Roman" w:cs="Times New Roman" w:eastAsia="Times New Roman" w:hAnsi="Times New Roman"/>
          <w:sz w:val="18"/>
          <w:szCs w:val="18"/>
          <w:color w:val="auto"/>
        </w:rPr>
      </w:pPr>
    </w:p>
    <w:p>
      <w:pPr>
        <w:ind w:left="680" w:right="20" w:hanging="21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restructuring programs or other strategic initiatives, including any difficulties in implementation or realization of the expected benefits or cost savings;</w:t>
      </w:r>
    </w:p>
    <w:p>
      <w:pPr>
        <w:spacing w:after="0" w:line="161"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commercialization or technological difficulties;</w:t>
      </w:r>
    </w:p>
    <w:p>
      <w:pPr>
        <w:spacing w:after="0" w:line="225" w:lineRule="exact"/>
        <w:rPr>
          <w:rFonts w:ascii="Times New Roman" w:cs="Times New Roman" w:eastAsia="Times New Roman" w:hAnsi="Times New Roman"/>
          <w:sz w:val="18"/>
          <w:szCs w:val="18"/>
          <w:color w:val="auto"/>
        </w:rPr>
      </w:pPr>
    </w:p>
    <w:p>
      <w:pPr>
        <w:jc w:val="both"/>
        <w:ind w:left="680" w:hanging="213"/>
        <w:spacing w:after="0" w:line="258"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and trade environment including the potential effects of the imposition or modification of new or increased tariffs either by the U.S. government on foreign imports or by a foreign government on U.S. exports related to the countries in which we transact business, and trade restrictions that may impact us, our customers and/or our suppliers, and risks associated with the evolving trade environment, trade restrictions, and changes in trade agreements, and general uncertainty about future changes in trade and tariff policy and the associated impacts of those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57"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80" w:hanging="21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fluctuations in foreign currency exchange rates and interest rates;</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legal proceedings;</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acceptance of our new products and competitive responses to those new products; and</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U.S. and applicable foreign legal and regulatory requirements, including, without limitation, tax laws.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list sets forth some, but not all, of the factors that could affect our ability to achieve results described in any Forward-Looking Statements, which speak only as of the date of this Quarterly Report on Form 10-Q or the date of the document incorporated by reference into this report. Except as required by law, we assume no obligation and expressly disclaim any duty to publicly release the results of any revisions to these Forward-Looking Statements or otherwise update any Forward-Looking Statement to reflect events or circumstances after the date of this Quarterly Report on Form 10-Q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 contained in this Quarterly Report on Form 10-Q. Any Forward-Looking Statement made by the Company is based only on information currently available to us and speaks only as of the date on which it is made. All Forward-Looking Statements are expressly qualified in their entirety by the cautionary statements contained in this section.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68,253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Held to maturity U.S. Treasury securities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$689 and $1,336,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161,370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2,062</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373,530</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47,879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 note receivable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231,948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208,036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16,430</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952,804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949,789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8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54,219</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53,031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7,954</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128,069</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287,500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17,763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Minimum pension obligation and unfunded pension liability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Related-party note payable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508,627</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Borders>
              <w:bottom w:val="single" w:sz="8" w:color="CCEEFF"/>
            </w:tcBorders>
            <w:shd w:val="clear" w:color="auto" w:fill="CCEEFF"/>
          </w:tcPr>
          <w:p>
            <w:pPr>
              <w:spacing w:after="0"/>
              <w:rPr>
                <w:sz w:val="18"/>
                <w:szCs w:val="18"/>
                <w:color w:val="auto"/>
              </w:rPr>
            </w:pPr>
          </w:p>
        </w:tc>
        <w:tc>
          <w:tcPr>
            <w:tcW w:w="6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80,586</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1,000,000 shares authorized; none issued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$.10 per share, 10,000,000 shares authorized; 2,115,263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at each date (net of 1,072,769 restricted treasury shares)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$.10 per share, 30,000,000 shares authorized; 10,546,800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10,425,175 shares outstanding at September 30, 2025 and December 31, 2024, respectively (net of</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3,218,307 restricted treasury shares)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31,514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345,031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(17,227)</w:t>
            </w: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952,804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949,789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08" w:right="339"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100" w:type="dxa"/>
            <w:vAlign w:val="bottom"/>
            <w:gridSpan w:val="5"/>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100" w:type="dxa"/>
            <w:vAlign w:val="bottom"/>
            <w:gridSpan w:val="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09"/>
        </w:trPr>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499,517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384,933</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304,475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238,782</w:t>
            </w:r>
          </w:p>
        </w:tc>
      </w:tr>
      <w:tr>
        <w:trPr>
          <w:trHeight w:val="20"/>
        </w:trPr>
        <w:tc>
          <w:tcPr>
            <w:tcW w:w="1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195,042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146,151</w:t>
            </w:r>
          </w:p>
        </w:tc>
      </w:tr>
      <w:tr>
        <w:trPr>
          <w:trHeight w:val="216"/>
        </w:trPr>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16,652</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75,785</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(credits)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1,790</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properties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 adjustment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51,924</w:t>
            </w:r>
          </w:p>
        </w:tc>
      </w:tr>
      <w:tr>
        <w:trPr>
          <w:trHeight w:val="216"/>
        </w:trPr>
        <w:tc>
          <w:tcPr>
            <w:tcW w:w="12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3,741</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54,423</w:t>
            </w:r>
          </w:p>
        </w:tc>
      </w:tr>
      <w:tr>
        <w:trPr>
          <w:trHeight w:val="216"/>
        </w:trPr>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11,663</w:t>
            </w:r>
          </w:p>
        </w:tc>
      </w:tr>
      <w:tr>
        <w:trPr>
          <w:trHeight w:val="20"/>
        </w:trPr>
        <w:tc>
          <w:tcPr>
            <w:tcW w:w="128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r>
      <w:tr>
        <w:trPr>
          <w:trHeight w:val="210"/>
        </w:trPr>
        <w:tc>
          <w:tcPr>
            <w:tcW w:w="12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value adjustment attributable to noncontrolling interest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Bel Fuse shareholders</w:t>
            </w:r>
          </w:p>
        </w:tc>
        <w:tc>
          <w:tcPr>
            <w:tcW w:w="9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r>
      <w:tr>
        <w:trPr>
          <w:trHeight w:val="20"/>
        </w:trPr>
        <w:tc>
          <w:tcPr>
            <w:tcW w:w="1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common share: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common share - basic and diluted</w:t>
            </w: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0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Class B common share - basic and diluted</w:t>
            </w:r>
          </w:p>
        </w:tc>
        <w:tc>
          <w:tcPr>
            <w:tcW w:w="9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3.41</w:t>
            </w:r>
          </w:p>
        </w:tc>
      </w:tr>
      <w:tr>
        <w:trPr>
          <w:trHeight w:val="20"/>
        </w:trPr>
        <w:tc>
          <w:tcPr>
            <w:tcW w:w="1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common share - basic and diluted</w:t>
            </w: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0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Class B common share - basic and diluted</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10,548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10,519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10,512</w:t>
            </w:r>
          </w:p>
        </w:tc>
      </w:tr>
      <w:tr>
        <w:trPr>
          <w:trHeight w:val="20"/>
        </w:trPr>
        <w:tc>
          <w:tcPr>
            <w:tcW w:w="1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080" w:type="dxa"/>
            <w:vAlign w:val="bottom"/>
            <w:gridSpan w:val="4"/>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720" w:type="dxa"/>
            <w:vAlign w:val="bottom"/>
            <w:gridSpan w:val="8"/>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980" w:type="dxa"/>
            <w:vAlign w:val="bottom"/>
            <w:gridSpan w:val="2"/>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980" w:type="dxa"/>
            <w:vAlign w:val="bottom"/>
            <w:gridSpan w:val="2"/>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24"/>
                <w:szCs w:val="24"/>
                <w:color w:val="auto"/>
              </w:rPr>
            </w:pPr>
          </w:p>
        </w:tc>
        <w:tc>
          <w:tcPr>
            <w:tcW w:w="22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20"/>
                <w:szCs w:val="20"/>
                <w:color w:val="auto"/>
              </w:rPr>
            </w:pPr>
          </w:p>
        </w:tc>
        <w:tc>
          <w:tcPr>
            <w:tcW w:w="22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22,250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Currency translation adjustment, net of taxes of $0, $3, $0, and $29,</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6,092</w:t>
            </w: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losses on interest rate swap cash flow hedge, net of taxes of $0 in</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periods presented</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(1,531)</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198"/>
        </w:trPr>
        <w:tc>
          <w:tcPr>
            <w:tcW w:w="59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holding gains on marketable securities, net of taxes of $0 in all</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periods presented</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unfunded SERP liability, net of taxes of $8, ($4), $24, ($13),</w:t>
            </w:r>
          </w:p>
        </w:tc>
        <w:tc>
          <w:tcPr>
            <w:tcW w:w="2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1"/>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42,642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Bel Fuse shareholders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21,504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42,642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AND REDEEMABLE</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3"/>
                <w:szCs w:val="3"/>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Class A</w:t>
            </w: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Class B</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line="20" w:lineRule="exact"/>
              <w:rPr>
                <w:sz w:val="1"/>
                <w:szCs w:val="1"/>
                <w:color w:val="auto"/>
              </w:rPr>
            </w:pPr>
          </w:p>
        </w:tc>
      </w:tr>
      <w:tr>
        <w:trPr>
          <w:trHeight w:val="126"/>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Class 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Class B</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8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Borders>
              <w:left w:val="single" w:sz="8" w:color="auto"/>
            </w:tcBorders>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Earnings</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8"/>
              </w:rPr>
              <w:t># of 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 of Shares</w:t>
            </w: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345,031</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(17,227)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2,115</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1,046</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10,425</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31,514</w:t>
            </w: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360,576</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80,586</w:t>
            </w:r>
          </w:p>
        </w:tc>
        <w:tc>
          <w:tcPr>
            <w:tcW w:w="0" w:type="dxa"/>
            <w:vAlign w:val="bottom"/>
          </w:tcPr>
          <w:p>
            <w:pPr>
              <w:spacing w:after="0"/>
              <w:rPr>
                <w:sz w:val="1"/>
                <w:szCs w:val="1"/>
                <w:color w:val="auto"/>
              </w:rPr>
            </w:pPr>
          </w:p>
        </w:tc>
      </w:tr>
      <w:tr>
        <w:trPr>
          <w:trHeight w:val="126"/>
        </w:trPr>
        <w:tc>
          <w:tcPr>
            <w:tcW w:w="2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Redemption value adjustment attributable to</w:t>
            </w:r>
          </w:p>
        </w:tc>
        <w:tc>
          <w:tcPr>
            <w:tcW w:w="14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17,874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17,874</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A Common Stock, $0.06/share</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Common Stock, $0.07/share</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 of restricted common stock</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 net of</w:t>
            </w:r>
          </w:p>
        </w:tc>
        <w:tc>
          <w:tcPr>
            <w:tcW w:w="1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(1,248)</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of $0</w:t>
            </w:r>
          </w:p>
        </w:tc>
        <w:tc>
          <w:tcPr>
            <w:tcW w:w="14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losses on interest rate swap cash</w:t>
            </w:r>
          </w:p>
        </w:tc>
        <w:tc>
          <w:tcPr>
            <w:tcW w:w="14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flow hedge, net of taxes of $0</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unfunded SERP liability, net of taxes</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8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of $8</w:t>
            </w: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362,041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(19,091)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7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1,059</w:t>
            </w:r>
          </w:p>
        </w:tc>
        <w:tc>
          <w:tcPr>
            <w:tcW w:w="8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10,552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32,680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376,901</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81,034</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lef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Redemption value adjustment attributable to</w:t>
            </w:r>
          </w:p>
        </w:tc>
        <w:tc>
          <w:tcPr>
            <w:tcW w:w="1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26,861</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26,861</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A Common Stock, $0.06/share</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Common Stock, $0.07/share</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 of restricted common stock</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 net of</w:t>
            </w:r>
          </w:p>
        </w:tc>
        <w:tc>
          <w:tcPr>
            <w:tcW w:w="1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of $0</w:t>
            </w:r>
          </w:p>
        </w:tc>
        <w:tc>
          <w:tcPr>
            <w:tcW w:w="14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losses on interest rate swap cash</w:t>
            </w:r>
          </w:p>
        </w:tc>
        <w:tc>
          <w:tcPr>
            <w:tcW w:w="14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flow hedge, net of taxes of $0</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1,721</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unfunded SERP liability, net of taxes</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8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of $8</w:t>
            </w: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388,035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(18,964)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7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1,058</w:t>
            </w:r>
          </w:p>
        </w:tc>
        <w:tc>
          <w:tcPr>
            <w:tcW w:w="8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10,549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34,402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404,743</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80,966</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lef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Redemption value adjustment attributable to</w:t>
            </w:r>
          </w:p>
        </w:tc>
        <w:tc>
          <w:tcPr>
            <w:tcW w:w="1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22,250</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22,250</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A Common Stock, $0.06/share</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Common Stock, $0.07/share</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(741)</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 of restricted common stock</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 net of</w:t>
            </w:r>
          </w:p>
        </w:tc>
        <w:tc>
          <w:tcPr>
            <w:tcW w:w="14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of $0</w:t>
            </w:r>
          </w:p>
        </w:tc>
        <w:tc>
          <w:tcPr>
            <w:tcW w:w="14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losses on interest rate swap cash</w:t>
            </w:r>
          </w:p>
        </w:tc>
        <w:tc>
          <w:tcPr>
            <w:tcW w:w="14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flow hedge, net of taxes of $0</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1,761</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unfunded SERP liability, net of taxes</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8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of $8</w:t>
            </w: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409,417</w:t>
            </w: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7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2,115</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1,058</w:t>
            </w:r>
          </w:p>
        </w:tc>
        <w:tc>
          <w:tcPr>
            <w:tcW w:w="8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10,547</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36,163</w:t>
            </w:r>
          </w:p>
        </w:tc>
        <w:tc>
          <w:tcPr>
            <w:tcW w:w="20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427,760</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81,271</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AND REDEEMABLE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NONCONTROLLING INTEREST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3"/>
                <w:szCs w:val="3"/>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Class A</w:t>
            </w: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Class B</w:t>
            </w: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line="20" w:lineRule="exact"/>
              <w:rPr>
                <w:sz w:val="1"/>
                <w:szCs w:val="1"/>
                <w:color w:val="auto"/>
              </w:rPr>
            </w:pPr>
          </w:p>
        </w:tc>
      </w:tr>
      <w:tr>
        <w:trPr>
          <w:trHeight w:val="126"/>
        </w:trPr>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Class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9"/>
              </w:rPr>
              <w:t>Common</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w w:val="96"/>
              </w:rPr>
              <w:t>Treasury</w:t>
            </w:r>
          </w:p>
        </w:tc>
        <w:tc>
          <w:tcPr>
            <w:tcW w:w="800" w:type="dxa"/>
            <w:vAlign w:val="bottom"/>
            <w:gridSpan w:val="3"/>
            <w:vMerge w:val="continue"/>
          </w:tcPr>
          <w:p>
            <w:pPr>
              <w:spacing w:after="0"/>
              <w:rPr>
                <w:sz w:val="12"/>
                <w:szCs w:val="12"/>
                <w:color w:val="auto"/>
              </w:rPr>
            </w:pPr>
          </w:p>
        </w:tc>
        <w:tc>
          <w:tcPr>
            <w:tcW w:w="9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Borders>
              <w:left w:val="single" w:sz="8" w:color="auto"/>
            </w:tcBorders>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Earnings</w:t>
            </w: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8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8"/>
              </w:rPr>
              <w:t>#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Interest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2023</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307,510</w:t>
            </w:r>
          </w:p>
        </w:tc>
        <w:tc>
          <w:tcPr>
            <w:tcW w:w="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(12,037)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2,142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10,620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44,260</w:t>
            </w: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340,558</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15,874</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15,874</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A Common Stock,</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$0.06/share</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B Common Stock,</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(747)</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$0.07/share</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common</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Forfeiture of restricted common</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(6,283)</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(6,283)</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(3,776)</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 net of taxes of $26</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gains on interest rate</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swap cash flow hedge, net of</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taxes of $0</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holding gains on</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net of taxes</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$0</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unfunded SERP</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liability, net of taxes of ($4)</w:t>
            </w:r>
          </w:p>
        </w:tc>
        <w:tc>
          <w:tcPr>
            <w:tcW w:w="1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tcBorders>
              <w:lef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1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322,508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(15,457)</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213</w:t>
            </w:r>
          </w:p>
        </w:tc>
        <w:tc>
          <w:tcPr>
            <w:tcW w:w="7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1,061</w:t>
            </w:r>
          </w:p>
        </w:tc>
        <w:tc>
          <w:tcPr>
            <w:tcW w:w="7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10,574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(6,737)</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45,069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346,657</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18,806</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18,806</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A Common Stock,</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$0.06/share</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B Common Stock,</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(725)</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$0.07/share</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Forfeiture of restricted common</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(7,892)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(7,893)</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adjustment, net of taxes of $0</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losses on interest rate</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swap cash flow hedge, net of</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of $0</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unfunded SERP</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liability, net of taxes of ($4)</w:t>
            </w:r>
          </w:p>
        </w:tc>
        <w:tc>
          <w:tcPr>
            <w:tcW w:w="1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tcBorders>
              <w:lef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1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340,462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(16,732)</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7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1,048</w:t>
            </w:r>
          </w:p>
        </w:tc>
        <w:tc>
          <w:tcPr>
            <w:tcW w:w="7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10,453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(14,629)</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46,054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356,415</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A Common Stock,</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$0.06/share</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B Common Stock,</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(715)</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$0.07/share</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Forfeiture of restricted common</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(1,878)</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6,092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6,092</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 net of taxes of $3</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losses on interest rate</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swap cash flow hedge, net of</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(1,531)</w:t>
            </w:r>
          </w:p>
        </w:tc>
        <w:tc>
          <w:tcPr>
            <w:tcW w:w="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taxes of $0</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unfunded SERP</w:t>
            </w: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liability, net of taxes of ($4)</w:t>
            </w:r>
          </w:p>
        </w:tc>
        <w:tc>
          <w:tcPr>
            <w:tcW w:w="1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347,702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(12,155)</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2,115</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1,046</w:t>
            </w:r>
          </w:p>
        </w:tc>
        <w:tc>
          <w:tcPr>
            <w:tcW w:w="7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10,432</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(16,507)</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47,064</w:t>
            </w:r>
          </w:p>
        </w:tc>
        <w:tc>
          <w:tcPr>
            <w:tcW w:w="20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367,362</w:t>
            </w:r>
          </w:p>
        </w:tc>
        <w:tc>
          <w:tcPr>
            <w:tcW w:w="10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67,670</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unrealized (gains)/losses on foreign currency revaluation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(13,203)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properties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(13,141)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Unbilled receivables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(11,849)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assets/liabilities,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(4,327)</w:t>
            </w:r>
          </w:p>
        </w:tc>
      </w:tr>
      <w:tr>
        <w:trPr>
          <w:trHeight w:val="210"/>
        </w:trPr>
        <w:tc>
          <w:tcPr>
            <w:tcW w:w="800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65,720</w:t>
            </w:r>
          </w:p>
        </w:tc>
        <w:tc>
          <w:tcPr>
            <w:tcW w:w="100" w:type="dxa"/>
            <w:vAlign w:val="bottom"/>
            <w:tcBorders>
              <w:top w:val="single" w:sz="8" w:color="CCEEFF"/>
            </w:tcBorders>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held to maturity securities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(131,309)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held to maturity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139,316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related party notes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disposal/sale of property, plant and equipment</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to common shareholders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(70,500)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of long-term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(16,053)</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(65,675)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(18,870)</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(10,510)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44,895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57,743</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134,266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Supplementary information: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net of refunds received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Interest payments</w:t>
            </w:r>
          </w:p>
        </w:tc>
        <w:tc>
          <w:tcPr>
            <w:tcW w:w="92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11,831</w:t>
            </w:r>
          </w:p>
        </w:tc>
        <w:tc>
          <w:tcPr>
            <w:tcW w:w="560" w:type="dxa"/>
            <w:vAlign w:val="bottom"/>
            <w:gridSpan w:val="2"/>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3,010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920" w:type="dxa"/>
            <w:vAlign w:val="bottom"/>
            <w:tcBorders>
              <w:bottom w:val="single" w:sz="8" w:color="auto"/>
            </w:tcBorders>
            <w:shd w:val="clear" w:color="auto" w:fill="CCEEFF"/>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sheets and statements of operations, comprehensive income, shareholders’ equity and redeemable noncontrolling interest, and cash flows for the periods presented herein have been prepared by the Company and are unaudited. In the opinion of management, all adjustments (consisting solely of normal recurring adjustments) necessary to present fairly the consolidated financial position, results of operations and cash flows for all periods presented have been made. The results for the three and nine months ended September 30, 2025 are not necessarily indicative of the results to be expected for the full year. These condensed consolidated financial statements should be read in conjunction with the consolidated financial statements and footnotes thereto included in the Bel Fuse Annual Report on Form 10-K for the fiscal year ended December 31,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required under accounting principles generally accepted in the United States of America (“U.S. GAAP”) have been condensed or omitted from these condensed consolidated financial statements pursuant to the rules and regulations, including the interim reporting requirements, of the U.S. Securities and Exchange Commission (“SEC”). The preparation of condensed consolidated financial statements in conformity with U.S. GAAP requires management to make estimates and assumptions that affect the reported amounts and the disclosure of contingent amounts in our condensed consolidated financial statements and accompanying notes. Actual results could differ from these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included in the tables to these notes to condensed consolidated financial statements, except per share amounts, are in thousands.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1 to the consolidated financial statements of the Company included in the Company’s Annual Report on Form 10-K for the fiscal year ended December 31, 2024. There were no significant changes to these accounting policies during the nine months ended September 30, 2025, except as discussed in “Recently Adopted Accounting Standards” below and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Cash Equivalents and Investments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investments in money market funds and certificates of deposit with an original maturity of three months or less when purchased. Accounts at each U.S. institution are insured by the Federal Deposit Insurance Corporation ("FDIC") up to $250,000. Substantially all of our U.S. cash and cash equivalents balances are in excess of the FDIC insured limit. The Company periodically invests its excess cash in money market funds and U.S. Treasury Bills. The Company's cash and cash equivalents are placed with high credit quality financial institutions.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previously had held to maturity securities comprised of U.S. Treasury Bills. These investments were classified as held to maturity as the Company has the intent and ability to hold these investments until they mature. The table below shows the amortized costs, associated gross unrealized gains and associated fair value of the held to maturity securities at December 31, 2024. There were no held to maturity securities outstanding at September 30, 2025.</w:t>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September 30, 2025</w:t>
            </w: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 U.S. Treasury securities</w:t>
            </w: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18"/>
                <w:szCs w:val="18"/>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unrealized gain</w:t>
            </w:r>
          </w:p>
        </w:tc>
        <w:tc>
          <w:tcPr>
            <w:tcW w:w="7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9"/>
                <w:szCs w:val="19"/>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Company's held to maturity U.S. Treasury securities, the Company utilized Level 1 inputs of the market price for identical securities as of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non-marketable investments using the equity method of accounting if the investment gives us the ability to exercise significant influence over, but not control of, an investee. Significant influence generally exists if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 in earnings of unconsolidated affiliates, in the consolidated statements of operations, reflects our proportionate share of the investee's net income, including any associated affiliate taxes. Our proportionate share of the investee’s other comprehensive income (loss), net of income taxes, is recorded in the consolidated statements of shareholders’ equity and redeemable noncontrolling interest and consolidated statements of comprehensive income. In general, the equity investment in our unconsolidated affiliates is equal to our original equity investment plus our share of those entities' undistributed earnings subsequent to our investment.</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our equity method investments for impairment at least annually or whenever events or changes in circumstances indicate, in management’s judgment, that the carrying value of an investment may have experienced an other-than-temporary decline in value. When evidence of loss in value has occurred, management compares the estimated fair value of the investment to the carrying value of the investment to determine whether an impairment has occurred. If the estimated fair value is less than the carrying value and management considers the decline in value to be other than temporary, the excess of the carrying value over the estimated fair value is recognized in the financial statements as an impairment. See Note 2, "</w:t>
      </w:r>
      <w:r>
        <w:rPr>
          <w:rFonts w:ascii="Times New Roman" w:cs="Times New Roman" w:eastAsia="Times New Roman" w:hAnsi="Times New Roman"/>
          <w:sz w:val="18"/>
          <w:szCs w:val="18"/>
          <w:i w:val="1"/>
          <w:iCs w:val="1"/>
          <w:color w:val="auto"/>
        </w:rPr>
        <w:t>Investment in Innolectric</w:t>
      </w:r>
      <w:r>
        <w:rPr>
          <w:rFonts w:ascii="Times New Roman" w:cs="Times New Roman" w:eastAsia="Times New Roman" w:hAnsi="Times New Roman"/>
          <w:sz w:val="18"/>
          <w:szCs w:val="18"/>
          <w:color w:val="auto"/>
        </w:rPr>
        <w:t>", below, for our discussion on specific equity method investments.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we are unable to exercise significant influence over the investee, or when our investment balance is reduced to zero from our proportionate share of losses, the investments are accounted for under the cost method. Under the cost method, investments are carried at cost and adjusted only for other-than-temporary declines in fair value, distributions of earnings, additional investments, or in the case of an observable price change in an orderly transaction for an identical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2023-07, </w:t>
      </w:r>
      <w:r>
        <w:rPr>
          <w:rFonts w:ascii="Times New Roman" w:cs="Times New Roman" w:eastAsia="Times New Roman" w:hAnsi="Times New Roman"/>
          <w:sz w:val="18"/>
          <w:szCs w:val="18"/>
          <w:i w:val="1"/>
          <w:iCs w:val="1"/>
          <w:color w:val="auto"/>
        </w:rPr>
        <w:t>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280): Improvements to Reportable Segment Disclosures</w:t>
      </w:r>
      <w:r>
        <w:rPr>
          <w:rFonts w:ascii="Times New Roman" w:cs="Times New Roman" w:eastAsia="Times New Roman" w:hAnsi="Times New Roman"/>
          <w:sz w:val="18"/>
          <w:szCs w:val="18"/>
          <w:color w:val="auto"/>
        </w:rPr>
        <w:t>, which requires a public business entity (PBE) to disclose significant segment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items on an annual and interim basis and provide in interim periods all disclosures about a reportable segment’s profit or loss and assets that prior to the implementation of the guidance were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In the fourth quarter of 2024, the Company adopted this guidance and applied the amendments retrospectively to all prior periods presented in the accompanying financial statements. This adoption only impacted our disclosures and did not have any impact to our results of operations, cash flows and financial condition. See Note 16,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for applicable reportable segment disclosures required by this guidance.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rate reconciliation and income taxes paid. ASU 2023-09 requires a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impacts to our results of operations, cash flows, and financial condition.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is intended to improve disclosures about a PBE's expenses and address requests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PBEs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20" w:hanging="49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INNOLECTRIC</w:t>
      </w:r>
    </w:p>
    <w:p>
      <w:pPr>
        <w:spacing w:after="0" w:line="2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February 1, 2023, the Company closed on a noncontrolling (one-third) investment in Germany-based innolectric AG (“innolectric”) for consideration of €8.0 million (approximately $8.8 million as of the February 2023 closing). Transaction costs associated with the Company's investment in innolectric amounted to $1.3 million and these costs have been recorded as part of the carrying value of the investment. Under the terms of the investment agreement, if innolectric achieves certain EBITDA thresholds within a specified timeframe, the Company would be committed to acquiring the remaining shares of innolectric at that time. The accompanying condensed consolidated balance sheet reflects the fair value as of the February 2023 closing of the initial one-third equity method investment, inclusive of transaction costs, of $11.0 million, and a separate liability of $1.0 million associated with the net fair value of the put and call options related to the remaining shares pursuant to the agreement in the event certain profitability thresholds are met.</w:t>
      </w:r>
    </w:p>
    <w:p>
      <w:pPr>
        <w:spacing w:after="0" w:line="18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This passive investment created a strategic alliance that is focused on Electric Vehicles (“EV”) on-board power electronics, and in particular next generation fast-charging technology. With no product overlap, this relationship expands the Bel eMobility Power portfolio, further enhancing Bel's competitive position in this emerging field. Our investment in innolectric is accounted for using the equity method and we have determined that the innolectric investment is not a variable interest entity (VIE). Results from this investment, which are reported within Bel’s Power Solutions and Protection segment, led to losses of $0.3 million for the three months and $0.4 million for the nine months ended September 30, 2025, respectively. The Company adopted a policy to record its share of innolectric's results on a one-month lag on a consistent basis to allow time for innolectric to provide its financial statements to Bel.</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Related Party Transactions</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From time to time, the Company provides cash loans to innolectric to fund working capital needs and further business development. During the three and nine months ended September 30, 2025, the Company provided incremental loans to innolectric in the amount of €0.2 million and €0.5 million, respectively. As of September 30, 2025 and December 31, 2024, the Company had loans outstanding to innolectric in the aggregate amount of €3.3 million (approximately $3.9 million at the September 30, 2025 exchange rate) and €2.8 million (approximately $2.9 million at the December 31, 2024 exchange rate), respectively. These loans bear interest at a rate of 5% per annum. This balance is shown as a related-party note receivable on the accompanying condensed consolidated balance sheets at September 30, 2025 and December 31, 2024.</w:t>
      </w:r>
    </w:p>
    <w:p>
      <w:pPr>
        <w:spacing w:after="0" w:line="210" w:lineRule="exact"/>
        <w:rPr>
          <w:sz w:val="20"/>
          <w:szCs w:val="20"/>
          <w:color w:val="auto"/>
        </w:rPr>
      </w:pPr>
    </w:p>
    <w:p>
      <w:pPr>
        <w:ind w:left="520" w:hanging="49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Enercon</w:t>
      </w:r>
    </w:p>
    <w:p>
      <w:pPr>
        <w:spacing w:after="0" w:line="22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On November 14, 2024 (and deemed effective solely for accounting purposes as of November 1, 2024), the Company closed on its acquisition of its majority 80% stake in Enercon Technologies, Ltd. (“Enercon”) for (i) a cash purchase price of $320 million (subject to customary adjustments), plus (ii) up to $10 million in potential earnout payments for the 2025 - 2026 period (the “Earnout Payments”), as further described below (the “Transaction” or the "acquisition"). Bel may acquire the remaining 20% stake in Enercon and has the current intention to purchase such remaining interest by early 2027 in accordance with the terms and subject to the conditions of a shareholders’ agreement, which was also entered into on November 14, 2024.</w:t>
      </w:r>
    </w:p>
    <w:p>
      <w:pPr>
        <w:spacing w:after="0" w:line="18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At the closing, Bel paid an aggregate of approximately $325.6 million in cash in respect to the cash purchase price (after giving effect to estimated adjustments taken at closing including for Enercon’s cash, indebtedness, net working capital and unpaid transaction costs, with final true-up adjustments implemented post-closing resulting in final adjusted cash consideration of approximately $324.1 million). Bel funded the closing of the Transaction through cash on hand of approximately $85.6 million and with approximately $240 million provided through incremental borrowings under the Company’s revolving credit facility, as amended in connection with the Transaction.</w:t>
      </w:r>
    </w:p>
    <w:p>
      <w:pPr>
        <w:spacing w:after="0" w:line="183"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potential Earnout Payments may become payable of up to $5 million for each of the fiscal 2025 and fiscal 2026 earnout periods (each, an “Earnout Period”), subject to Enercon’s achievement of certain specified EBITDA targets for each respective Earnout Period, as calculated and determined in accordance with the Purchase Agreement. In the event that (i) the target for the respective Earnout Period has been achieved, the full $5 million Earnout Payment for the Earnout Period shall be payable, or (ii) achievement for the respective Earnout Period is at least 90% of the target level but less than 100% of the target level, then the amount payable in respect of the Earnout Payment for such Earnout Period shall be $2.5 million. In the event that achievement for the respective Earnout Period is less than 90% of the target level, no Earnout Payment shall be due for such period.</w:t>
      </w:r>
    </w:p>
    <w:p>
      <w:pPr>
        <w:spacing w:after="0" w:line="18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Company did not incur any acquisition-related costs associated with the Transaction during the three or nine months ended September 30, 2025 as compared to $4.3 million during the three months and nine months ended September 30,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The accounting related to the Enercon acquisition has been completed as of the filing date of this Form 10-Q. The following table presents the Company’s final determination of the acquisition date fair values of the consideration paid, identifiable net assets acquired, and goodwill. All valuations and the purchase price allocation are now finalized, and no further adjustments are anticipated.</w:t>
      </w:r>
    </w:p>
    <w:p>
      <w:pPr>
        <w:spacing w:after="0" w:line="176" w:lineRule="exact"/>
        <w:rPr>
          <w:sz w:val="20"/>
          <w:szCs w:val="20"/>
          <w:color w:val="auto"/>
        </w:rPr>
      </w:pPr>
    </w:p>
    <w:tbl>
      <w:tblPr>
        <w:tblLayout w:type="fixed"/>
        <w:tblInd w:w="113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Fair Values</w:t>
            </w:r>
          </w:p>
        </w:tc>
      </w:tr>
      <w:tr>
        <w:trPr>
          <w:trHeight w:val="234"/>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(as adjusted)</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21,088</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42,271</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80" w:type="dxa"/>
            <w:vAlign w:val="bottom"/>
          </w:tcPr>
          <w:p>
            <w:pPr>
              <w:spacing w:after="0"/>
              <w:rPr>
                <w:sz w:val="18"/>
                <w:szCs w:val="18"/>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189,700</w:t>
            </w:r>
          </w:p>
        </w:tc>
        <w:tc>
          <w:tcPr>
            <w:tcW w:w="80" w:type="dxa"/>
            <w:vAlign w:val="bottom"/>
          </w:tcPr>
          <w:p>
            <w:pPr>
              <w:spacing w:after="0"/>
              <w:rPr>
                <w:sz w:val="18"/>
                <w:szCs w:val="18"/>
                <w:color w:val="auto"/>
              </w:rPr>
            </w:pPr>
          </w:p>
        </w:tc>
      </w:tr>
      <w:tr>
        <w:trPr>
          <w:trHeight w:val="21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273,646</w:t>
            </w:r>
          </w:p>
        </w:tc>
        <w:tc>
          <w:tcPr>
            <w:tcW w:w="80" w:type="dxa"/>
            <w:vAlign w:val="bottom"/>
          </w:tcPr>
          <w:p>
            <w:pPr>
              <w:spacing w:after="0"/>
              <w:rPr>
                <w:sz w:val="18"/>
                <w:szCs w:val="18"/>
                <w:color w:val="auto"/>
              </w:rPr>
            </w:pPr>
          </w:p>
        </w:tc>
      </w:tr>
      <w:tr>
        <w:trPr>
          <w:trHeight w:val="210"/>
        </w:trPr>
        <w:tc>
          <w:tcPr>
            <w:tcW w:w="7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80" w:type="dxa"/>
            <w:vAlign w:val="bottom"/>
          </w:tcPr>
          <w:p>
            <w:pPr>
              <w:spacing w:after="0"/>
              <w:rPr>
                <w:sz w:val="18"/>
                <w:szCs w:val="18"/>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80" w:type="dxa"/>
            <w:vAlign w:val="bottom"/>
          </w:tcPr>
          <w:p>
            <w:pPr>
              <w:spacing w:after="0"/>
              <w:rPr>
                <w:sz w:val="18"/>
                <w:szCs w:val="18"/>
                <w:color w:val="auto"/>
              </w:rPr>
            </w:pPr>
          </w:p>
        </w:tc>
      </w:tr>
      <w:tr>
        <w:trPr>
          <w:trHeight w:val="216"/>
        </w:trPr>
        <w:tc>
          <w:tcPr>
            <w:tcW w:w="7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Noncurrent liabilities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34,331</w:t>
            </w:r>
          </w:p>
        </w:tc>
      </w:tr>
      <w:tr>
        <w:trPr>
          <w:trHeight w:val="20"/>
        </w:trPr>
        <w:tc>
          <w:tcPr>
            <w:tcW w:w="7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55,690</w:t>
            </w: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217,956</w:t>
            </w: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186,714</w:t>
            </w:r>
          </w:p>
        </w:tc>
        <w:tc>
          <w:tcPr>
            <w:tcW w:w="80" w:type="dxa"/>
            <w:vAlign w:val="bottom"/>
          </w:tcPr>
          <w:p>
            <w:pPr>
              <w:spacing w:after="0"/>
              <w:rPr>
                <w:sz w:val="18"/>
                <w:szCs w:val="18"/>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404,670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6"/>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324,071</w:t>
            </w:r>
          </w:p>
        </w:tc>
        <w:tc>
          <w:tcPr>
            <w:tcW w:w="80" w:type="dxa"/>
            <w:vAlign w:val="bottom"/>
          </w:tcPr>
          <w:p>
            <w:pPr>
              <w:spacing w:after="0"/>
              <w:rPr>
                <w:sz w:val="18"/>
                <w:szCs w:val="18"/>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noncontrolling interest</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72,354</w:t>
            </w:r>
          </w:p>
        </w:tc>
      </w:tr>
      <w:tr>
        <w:trPr>
          <w:trHeight w:val="21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seller note</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404,670</w:t>
            </w:r>
          </w:p>
        </w:tc>
        <w:tc>
          <w:tcPr>
            <w:tcW w:w="80" w:type="dxa"/>
            <w:vAlign w:val="bottom"/>
          </w:tcPr>
          <w:p>
            <w:pPr>
              <w:spacing w:after="0"/>
              <w:rPr>
                <w:sz w:val="18"/>
                <w:szCs w:val="18"/>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(80,599)</w:t>
            </w:r>
          </w:p>
        </w:tc>
      </w:tr>
      <w:tr>
        <w:trPr>
          <w:trHeight w:val="209"/>
        </w:trPr>
        <w:tc>
          <w:tcPr>
            <w:tcW w:w="7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consideration paid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324,071</w:t>
            </w:r>
          </w:p>
        </w:tc>
        <w:tc>
          <w:tcPr>
            <w:tcW w:w="80" w:type="dxa"/>
            <w:vAlign w:val="bottom"/>
            <w:tcBorders>
              <w:top w:val="single" w:sz="8" w:color="CCEEFF"/>
            </w:tcBorders>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 w:hanging="10"/>
        <w:spacing w:after="0" w:line="28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period adjustment of $3.5 million recorded is attributable to tax liabilities with a corresponding increase to goodwill. The measurement period adjustment was a result of the purchase price allocation finalization as the Company filed its tax return on October 15, 2025.</w:t>
      </w:r>
    </w:p>
    <w:p>
      <w:pPr>
        <w:spacing w:after="0" w:line="37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information presents a summary of the combined results of operations of the Company and the results of Enercon for the periods presented as if the Transaction had occurred on January 1, 2024, along with certain pro forma adjustments. These pro forma adjustments give effect to the amortization of certain definite-lived intangible assets, adjusted depreciation based upon estimated fair value of assets acquired, interest expense and amortization of deferred financing costs related to the financing of the acquisition, and related tax effects. The 2024 unaudited pro forma net earnings for the three and nine months ended September 30, 2024 were adjusted to include an estimated non-recurring expense related to a fair value adjustment to acquisition-date inventory of $0.5 million ($0.4 million after tax) and $2.4 million ($1.8 million after tax), respectively. The pro forma results do not reflect the realization of any potential cost savings, or any related integration costs. Certain cost savings may result from this acquisition; however, there can be no assurance that these cost savings will be achieved. The pro forma results also exclude the impact of any change in the redemption value of the noncontrolling interest. The unaudited pro forma results are presented for illustrative purposes only and are not necessarily indicative of the results that would have actually been obtained if the acquisition had occurred on the assumed date, nor is the pro forma data intended to be a projection of results that may be obtained in the future: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Three 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Nine Months</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Ended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earnings attributable to Bel Fuse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Class A common share - basic and diluted</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Class B common share - basic and diluted</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acquisition of Enercon resulted in a noncontrolling interest holder who is entitled to a put option, giving the sellers the ability to put their redeemable interest in the shares of the acquiree to the Company. Specifically, if exercised by the noncontrolling interest holder, the Company would be required to purchase the remaining 20% of the Seller's redeemable interest, at a redemption price during specified time period(s) stipulated in the Enercon acquisition agreement. Upon acquisition, the redeemable noncontrolling interest was initially valued at a fair value of $72.4 million. The redeemable noncontrolling interest reflected on the accompanying condensed consolidated balance sheets at September 30, 2025 and December 31, 2024 will remain in temporary equity until the applicable put-call option is either fully exercised or expires. At September 30, 2025 and December 31, 2024, the redeemable noncontrolling interest was adjusted to reflect its redemption value of $81.3 million and $80.6 million, respectively. The redemption value of the redeemable noncontrolling interest is generally calculated using Level 3 unobservable inputs based on a multiple of earnings. A roll-forward of the redeemable noncontrolling interest for the three and nine months ended September 30, 2025 is included in the accompanying condensed consolidated statements of shareholders' equity and redeemable noncontrolling interest.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by geographic region and sales channel, and includes a reconciliation of the disaggregated revenue to our reportable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12"/>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120" w:type="dxa"/>
            <w:vAlign w:val="bottom"/>
          </w:tcPr>
          <w:p>
            <w:pPr>
              <w:spacing w:after="0"/>
              <w:rPr>
                <w:sz w:val="20"/>
                <w:szCs w:val="20"/>
                <w:color w:val="auto"/>
              </w:rPr>
            </w:pPr>
          </w:p>
        </w:tc>
        <w:tc>
          <w:tcPr>
            <w:tcW w:w="4040" w:type="dxa"/>
            <w:vAlign w:val="bottom"/>
            <w:gridSpan w:val="13"/>
          </w:tcPr>
          <w:p>
            <w:pPr>
              <w:ind w:left="440"/>
              <w:spacing w:after="0"/>
              <w:rPr>
                <w:sz w:val="20"/>
                <w:szCs w:val="20"/>
                <w:color w:val="auto"/>
              </w:rPr>
            </w:pPr>
            <w:r>
              <w:rPr>
                <w:rFonts w:ascii="Times New Roman" w:cs="Times New Roman" w:eastAsia="Times New Roman" w:hAnsi="Times New Roman"/>
                <w:sz w:val="18"/>
                <w:szCs w:val="18"/>
                <w:color w:val="auto"/>
              </w:rPr>
              <w:t>Nine Months Ended September 30, 2025</w:t>
            </w:r>
          </w:p>
        </w:tc>
      </w:tr>
      <w:tr>
        <w:trPr>
          <w:trHeight w:val="191"/>
        </w:trPr>
        <w:tc>
          <w:tcPr>
            <w:tcW w:w="28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Power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Power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Solutions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Solutions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and</w:t>
            </w:r>
          </w:p>
        </w:tc>
        <w:tc>
          <w:tcPr>
            <w:tcW w:w="12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Connectivity</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Magnetic</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and</w:t>
            </w: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Connectivity</w:t>
            </w:r>
          </w:p>
        </w:tc>
        <w:tc>
          <w:tcPr>
            <w:tcW w:w="10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Magnetic</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4"/>
              </w:rPr>
              <w:t>Protection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Solutions</w:t>
            </w:r>
          </w:p>
        </w:tc>
        <w:tc>
          <w:tcPr>
            <w:tcW w:w="10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Solutions</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Protection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Solutions</w:t>
            </w:r>
          </w:p>
        </w:tc>
        <w:tc>
          <w:tcPr>
            <w:tcW w:w="10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Solutions</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2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 Geographic Region: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49,731</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120,304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165,989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136,379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26,262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328,630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76,897</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12,411</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33,647</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93,990</w:t>
            </w:r>
          </w:p>
        </w:tc>
      </w:tr>
      <w:tr>
        <w:trPr>
          <w:trHeight w:val="20"/>
        </w:trPr>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94,406</w:t>
            </w:r>
          </w:p>
        </w:tc>
        <w:tc>
          <w:tcPr>
            <w:tcW w:w="2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178,980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264,259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171,802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63,456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499,517</w:t>
            </w:r>
          </w:p>
        </w:tc>
      </w:tr>
      <w:tr>
        <w:trPr>
          <w:trHeight w:val="197"/>
        </w:trPr>
        <w:tc>
          <w:tcPr>
            <w:tcW w:w="2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 Sales Channel:</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Direct to customer</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41,743</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18,961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133,185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205,166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114,529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48,833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368,528</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Through distribution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130,989</w:t>
            </w:r>
          </w:p>
        </w:tc>
      </w:tr>
      <w:tr>
        <w:trPr>
          <w:trHeight w:val="20"/>
        </w:trPr>
        <w:tc>
          <w:tcPr>
            <w:tcW w:w="28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8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94,406</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22,704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264,259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171,802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499,517</w:t>
            </w:r>
          </w:p>
        </w:tc>
      </w:tr>
      <w:tr>
        <w:trPr>
          <w:trHeight w:val="20"/>
        </w:trPr>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12"/>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120" w:type="dxa"/>
            <w:vAlign w:val="bottom"/>
          </w:tcPr>
          <w:p>
            <w:pPr>
              <w:spacing w:after="0"/>
              <w:rPr>
                <w:sz w:val="24"/>
                <w:szCs w:val="24"/>
                <w:color w:val="auto"/>
              </w:rPr>
            </w:pPr>
          </w:p>
        </w:tc>
        <w:tc>
          <w:tcPr>
            <w:tcW w:w="4040" w:type="dxa"/>
            <w:vAlign w:val="bottom"/>
            <w:gridSpan w:val="13"/>
          </w:tcPr>
          <w:p>
            <w:pPr>
              <w:ind w:left="440"/>
              <w:spacing w:after="0"/>
              <w:rPr>
                <w:sz w:val="20"/>
                <w:szCs w:val="20"/>
                <w:color w:val="auto"/>
              </w:rPr>
            </w:pPr>
            <w:r>
              <w:rPr>
                <w:rFonts w:ascii="Times New Roman" w:cs="Times New Roman" w:eastAsia="Times New Roman" w:hAnsi="Times New Roman"/>
                <w:sz w:val="18"/>
                <w:szCs w:val="18"/>
                <w:color w:val="auto"/>
              </w:rPr>
              <w:t>Nine Months Ended September 30, 2024</w:t>
            </w:r>
          </w:p>
        </w:tc>
      </w:tr>
      <w:tr>
        <w:trPr>
          <w:trHeight w:val="191"/>
        </w:trPr>
        <w:tc>
          <w:tcPr>
            <w:tcW w:w="28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Power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Power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Solutions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Solutions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and</w:t>
            </w:r>
          </w:p>
        </w:tc>
        <w:tc>
          <w:tcPr>
            <w:tcW w:w="12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Connectivity</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Magnetic</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and</w:t>
            </w: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Connectivity</w:t>
            </w:r>
          </w:p>
        </w:tc>
        <w:tc>
          <w:tcPr>
            <w:tcW w:w="10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Magnetic</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4"/>
              </w:rPr>
              <w:t>Protection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Solutions</w:t>
            </w:r>
          </w:p>
        </w:tc>
        <w:tc>
          <w:tcPr>
            <w:tcW w:w="10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Solutions</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Protection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Solutions</w:t>
            </w:r>
          </w:p>
        </w:tc>
        <w:tc>
          <w:tcPr>
            <w:tcW w:w="10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Solutions</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2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 Geographic Region: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42,414</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80,555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109,552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131,678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20,808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262,038</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79,864</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10,593</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17,174</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25,176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43,031</w:t>
            </w:r>
          </w:p>
        </w:tc>
      </w:tr>
      <w:tr>
        <w:trPr>
          <w:trHeight w:val="20"/>
        </w:trPr>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2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19,243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123,638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167,478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167,822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49,633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384,933</w:t>
            </w:r>
          </w:p>
        </w:tc>
      </w:tr>
      <w:tr>
        <w:trPr>
          <w:trHeight w:val="197"/>
        </w:trPr>
        <w:tc>
          <w:tcPr>
            <w:tcW w:w="2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 Sales Channel:</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Direct to customer</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34,085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13,398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80,443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109,357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34,977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248,917</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Through distribution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14,656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136,016</w:t>
            </w:r>
          </w:p>
        </w:tc>
      </w:tr>
      <w:tr>
        <w:trPr>
          <w:trHeight w:val="20"/>
        </w:trPr>
        <w:tc>
          <w:tcPr>
            <w:tcW w:w="28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8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123,638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167,478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49,633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384,933</w:t>
            </w:r>
          </w:p>
        </w:tc>
      </w:tr>
      <w:tr>
        <w:trPr>
          <w:trHeight w:val="20"/>
        </w:trPr>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Company’s contract assets and contract liabilities at September 30, 2025 and December 31, 2024 are as follows: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 (unbilled receivables)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4,994</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 (deferred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6,120</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change in balance of our unbilled receivables from December 31, 2024 to September 30, 2025 primarily relates to a timing difference between the Company’s performance (i.e., when our product is shipped to a customer-controlled hub) and the point at which the Company can invoice the customer per the terms of the customer contract (i.e., when the customer pulls our product from the customer-controlled hub). Our deferred revenue balances at December 31, 2024 and September 30, 2025 primarily relate to customer prepayments on invoices, which will be recorded as revenue in the period in which the related finished goods are shipped to the customer. The increase in the deferred revenue balance from December 31, 2024 is primarily attributable to a sales agreement at Enercon that includes advance payment terms, resulting in higher unrecognized revenue as of the September 30, 2025 reporting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 Allocated to Future Obligations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amount of transaction price allocated to remaining performance obligations that have not been fully satisfied as of September 30, 2025 related to contracts that exceed one year in duration amounted to $14 million, with expected contract expiration dates that range from 2026 – 2030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Based on the Company's current estimates, it is currently expected that approximately $7.5 million of this aggregate amount will be recognized in 2026, $3.5 million will be recognized in 2027, and $3.0 million will be recognized in the years beyond 2027. The majority of the Company's orders received (but not yet shipped) at September 30, 2025 are related to contracts that have an original expected duration of one year or less, for which the Company is electing to utilize the practical expedient available within the applicable guidance, and are excluded from the transaction price related to these future obligations. The Company will generally satisfy the remaining performance obligations as we transfer control of the products ordered to our customers.</w:t>
      </w:r>
    </w:p>
    <w:p>
      <w:pPr>
        <w:sectPr>
          <w:pgSz w:w="11900" w:h="16838" w:orient="portrait"/>
          <w:cols w:equalWidth="0" w:num="1">
            <w:col w:w="11240"/>
          </w:cols>
          <w:pgMar w:left="320" w:top="121" w:right="339" w:bottom="947"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47"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earnings per common share under the two-class method for the three and nine months ended September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22,250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dividends declared: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59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Class B</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Undistributed earnings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21,382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40,189</w:t>
            </w: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Undistributed earnings allocation: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Class A undistributed earnings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3,429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6,491</w:t>
            </w:r>
          </w:p>
        </w:tc>
      </w:tr>
      <w:tr>
        <w:trPr>
          <w:trHeight w:val="216"/>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 B undistributed earnings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33,698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undistributed earnings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21,382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40,189</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earnings allocation: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 A net earnings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6,872</w:t>
            </w:r>
          </w:p>
        </w:tc>
      </w:tr>
      <w:tr>
        <w:trPr>
          <w:trHeight w:val="216"/>
        </w:trPr>
        <w:tc>
          <w:tcPr>
            <w:tcW w:w="59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Class B net earnings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35,888</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22,250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Weighted-average shares outstanding:</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A</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B</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2,115</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10,548</w:t>
            </w:r>
          </w:p>
        </w:tc>
        <w:tc>
          <w:tcPr>
            <w:tcW w:w="2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2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10,519</w:t>
            </w:r>
          </w:p>
        </w:tc>
        <w:tc>
          <w:tcPr>
            <w:tcW w:w="22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earnings per share:</w:t>
            </w: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 A</w:t>
            </w:r>
          </w:p>
        </w:tc>
        <w:tc>
          <w:tcPr>
            <w:tcW w:w="2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20" w:type="dxa"/>
            <w:vAlign w:val="bottom"/>
            <w:shd w:val="clear" w:color="auto" w:fill="CCEEFF"/>
          </w:tcPr>
          <w:p>
            <w:pPr>
              <w:ind w:left="980"/>
              <w:spacing w:after="0" w:line="196" w:lineRule="exact"/>
              <w:rPr>
                <w:sz w:val="20"/>
                <w:szCs w:val="20"/>
                <w:color w:val="auto"/>
              </w:rPr>
            </w:pPr>
            <w:r>
              <w:rPr>
                <w:rFonts w:ascii="Times New Roman" w:cs="Times New Roman" w:eastAsia="Times New Roman" w:hAnsi="Times New Roman"/>
                <w:sz w:val="18"/>
                <w:szCs w:val="18"/>
                <w:color w:val="auto"/>
              </w:rPr>
              <w:t>Class B</w:t>
            </w:r>
          </w:p>
        </w:tc>
        <w:tc>
          <w:tcPr>
            <w:tcW w:w="2500" w:type="dxa"/>
            <w:vAlign w:val="bottom"/>
            <w:gridSpan w:val="2"/>
            <w:shd w:val="clear" w:color="auto" w:fill="CCEEFF"/>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440" w:type="dxa"/>
            <w:vAlign w:val="bottom"/>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440" w:type="dxa"/>
            <w:vAlign w:val="bottom"/>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3.41</w:t>
            </w:r>
          </w:p>
        </w:tc>
      </w:tr>
      <w:tr>
        <w:trPr>
          <w:trHeight w:val="628"/>
        </w:trPr>
        <w:tc>
          <w:tcPr>
            <w:tcW w:w="392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representing the price that would be received to sell an asset or paid to transfer a liability in an orderly transaction between market participants based upon the best use of the asset or liability at the measurement date. Entities are required to use a fair value hierarchy which maximizes the use of observable inputs and minimizes the use of unobservable inputs when measuring fair value. There are three levels of inputs that may be used to measure fair value: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Observable inputs such as quoted market prices in active markets;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quoted prices in active markets that are either directly or indirectly observable;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about which little or no market data exists, therefore requiring an entity to develop its own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Cash and Cash</w:t>
            </w:r>
          </w:p>
        </w:tc>
        <w:tc>
          <w:tcPr>
            <w:tcW w:w="11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Other Current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Equivalents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56,741</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56,741</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 (Rabbi Trust)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60,187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57,743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Cash and Cash</w:t>
            </w:r>
          </w:p>
        </w:tc>
        <w:tc>
          <w:tcPr>
            <w:tcW w:w="11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Other Current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Equivalents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66,917</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66,917</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 (Rabbi Trust)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70,832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our available-for-sale securities primarily consisted of investments held in a rabbi trust which are intended to fund the Company’s Supplemental Executive Retirement Plan (“SERP”) obligations. These securities are measured at fair value using quoted prices in active markets for identical assets (Level 1) inputs and amounted to less than $0.1 million at September 30, 2025 and $0.6 million at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2025 and 2024, the Company entered into a series of foreign currency forward contracts, the fair values of which were $0.8 million at September 30, 2025 and ($1.0) million at December 31, 2024. The estimated fair value of foreign currency forward contracts is based on quotes received from the applicable counterparty, and represents the estimated amount we would receive or pay to settle the contracts, taking into consideration current exchange rates which can be validated through readily observable data from external sources (Level 2).</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party to two interest rate swap agreements as further described in Note 10,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The fair value of the interest rate swap agreements was $1.3 million at September 30, 2025 and $2.7 million at December 31, 2024, which was based on market data, and represents the estimated amount we would receive or pay to settle the agreements, taking into consideration current and projected future interest rates as well as the creditworthiness of the parties, all of which can be validated through readily observable data from external sources (Level 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derivative financial instruments and their classifications in our condensed consolidated balance sheets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3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4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Designated as cash flow hedges</w:t>
            </w: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Designated as a cash flow hedge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spacing w:after="0"/>
              <w:rPr>
                <w:sz w:val="18"/>
                <w:szCs w:val="18"/>
                <w:color w:val="auto"/>
              </w:rPr>
            </w:pPr>
          </w:p>
        </w:tc>
      </w:tr>
      <w:tr>
        <w:trPr>
          <w:trHeight w:val="25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 assets</w:t>
            </w:r>
          </w:p>
        </w:tc>
        <w:tc>
          <w:tcPr>
            <w:tcW w:w="43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2,730</w:t>
            </w:r>
          </w:p>
        </w:tc>
      </w:tr>
      <w:tr>
        <w:trPr>
          <w:trHeight w:val="197"/>
        </w:trPr>
        <w:tc>
          <w:tcPr>
            <w:tcW w:w="3500" w:type="dxa"/>
            <w:vAlign w:val="bottom"/>
            <w:tcBorders>
              <w:top w:val="single" w:sz="8" w:color="CCEEFF"/>
            </w:tcBorders>
          </w:tcPr>
          <w:p>
            <w:pPr>
              <w:spacing w:after="0"/>
              <w:rPr>
                <w:sz w:val="17"/>
                <w:szCs w:val="17"/>
                <w:color w:val="auto"/>
              </w:rPr>
            </w:pPr>
          </w:p>
        </w:tc>
        <w:tc>
          <w:tcPr>
            <w:tcW w:w="4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Designated as cash flow hedges</w:t>
            </w: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50"/>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Enercon as further described in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the sellers are eligible to receive an Earnout Payment based on the achievement of certain financial metrics for each of the fiscal 2025 and 2026 Earnout Periods. As this contingent consideration will be settled in cash by Bel if the related metrics are achieved, this contingent consideration has been classified as a liability on the accompanying balance sheets at September 30, 2025 and December 31, 2024. The earnout liabilities were initially recorded at a fair value of $3.3 million at the acquisition date, with subsequent remeasurements to fair value at September 30, 2025 and December 31, 2024 calculated using Level 3 unobservable inputs. At September 30, 2025 and December 31, 2024, inputs to the valuation approach for the contingent earnout liabilities include the Company's forecasted Enercon EBITDA (as defined under the terms of the Purchase Agreement) for each of 2025 and 2026, an estimated EBITDA volatility measure of 47.5% and 52.1%, respectively, an expected term of 2 years and a discount rate on the Earnout Payments of 6.70% and 6.66%, respectively. The fair value of the earnout liabilities as of September 30, 2025 and December 31, 2024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5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Level 3</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Contingent Liabilities:</w:t>
            </w:r>
          </w:p>
        </w:tc>
        <w:tc>
          <w:tcPr>
            <w:tcW w:w="3960" w:type="dxa"/>
            <w:vAlign w:val="bottom"/>
            <w:gridSpan w:val="2"/>
            <w:vMerge w:val="continue"/>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vMerge w:val="continue"/>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payment liability - 2025</w:t>
            </w: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3,531</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payment liability - 2026</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change in the fair value of the earnout liabilities noted above from December 31, 2024 to September 30, 2025 of $1.9 million primarily related to the passage of time and a lower discount rate assumed at the September 30, 2025 date. The change in fair value was recognized and presented separately as an Earnout liability adjustment on the accompanying condensed consolidated statement of operations for the nine months ended September 30, 2025. Aside from the earnout liability described above, the Company does not have any financial assets measured at fair value on a recurring basis categorized as Level 3, and there were no transfers in or out of Level 1, Level 2 or Level 3 during the nine months ended September 30, 2025 or September 30, 2024. There were no changes to the Company’s valuation techniques used to measure fair values on a recurring or nonrecurring basis during the nine months ended September 30, 2025 or September 30,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in connection with the Company's annual impairment test of indefinite-lived intangible assets, the Company adjusted the carrying value associated with the CUI tradename to fair value. Aside from this item, there were no financial assets accounted for at fair value on a nonrecurring basis as of September 30, 2025 or December 31,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other financial instruments, such as cash and cash equivalents, accounts receivable, accounts payable and accrued expenses, which are not measured at fair value on a recurring basis but are recorded at amounts that approximate fair value due to their liquid or short-term nature. The fair value of the Company’s long-term debt is estimated using a discounted cash flow method based on interest rates that are currently available for debt issuances with similar terms and maturities. At September 30, 2025 and December 31, 2024, the estimated fair value of total debt was $224.4 million and $286.6 million, respectively, compared to a carrying amount of $225.0 million and $287.5 million, respectively. The Company did not have any other financial liabilities within the scope of the fair value disclosure requirements as of September 30,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Nonfinancial assets and liabilities, such as goodwill, indefinite-lived intangible assets, long-lived assets and the net liability related to the put/call options pursuant to the innolectric investment agreement, are accounted for at fair value on a nonrecurring basis. These items are tested for impairment upon the occurrence of a triggering event or in the case of goodwill, on at least an annual basis. Based on the Company's assessment, it was concluded that no triggering events occurred during the nine months ended September 30, 2025 or September 30, 2024.</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09"/>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74,750</w:t>
            </w: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53,569</w:t>
            </w: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33,051</w:t>
            </w: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161,370</w:t>
            </w: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37"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Land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2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0"/>
                <w:szCs w:val="20"/>
                <w:color w:val="auto"/>
              </w:rPr>
            </w:pPr>
          </w:p>
        </w:tc>
      </w:tr>
      <w:tr>
        <w:trPr>
          <w:trHeight w:val="191"/>
        </w:trPr>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19,385</w:t>
            </w:r>
          </w:p>
        </w:tc>
      </w:tr>
      <w:tr>
        <w:trPr>
          <w:trHeight w:val="216"/>
        </w:trPr>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99,747</w:t>
            </w:r>
          </w:p>
        </w:tc>
      </w:tr>
      <w:tr>
        <w:trPr>
          <w:trHeight w:val="234"/>
        </w:trPr>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5,243</w:t>
            </w:r>
          </w:p>
        </w:tc>
      </w:tr>
      <w:tr>
        <w:trPr>
          <w:trHeight w:val="191"/>
        </w:trPr>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124,896</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124,490</w:t>
            </w:r>
          </w:p>
        </w:tc>
        <w:tc>
          <w:tcPr>
            <w:tcW w:w="6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(77,341)</w:t>
            </w:r>
          </w:p>
        </w:tc>
        <w:tc>
          <w:tcPr>
            <w:tcW w:w="1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(76,611)</w:t>
            </w:r>
          </w:p>
        </w:tc>
      </w:tr>
      <w:tr>
        <w:trPr>
          <w:trHeight w:val="209"/>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47,555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47,879</w:t>
            </w:r>
          </w:p>
        </w:tc>
        <w:tc>
          <w:tcPr>
            <w:tcW w:w="60" w:type="dxa"/>
            <w:vAlign w:val="bottom"/>
          </w:tcPr>
          <w:p>
            <w:pPr>
              <w:spacing w:after="0"/>
              <w:rPr>
                <w:sz w:val="18"/>
                <w:szCs w:val="18"/>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-1002030</wp:posOffset>
            </wp:positionV>
            <wp:extent cx="57003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-728345</wp:posOffset>
            </wp:positionV>
            <wp:extent cx="57003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-445135</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-162560</wp:posOffset>
            </wp:positionV>
            <wp:extent cx="570039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080" w:space="720"/>
            <w:col w:w="4440"/>
          </w:cols>
          <w:pgMar w:left="320" w:top="121" w:right="339" w:bottom="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was $3.0 million and $2.5 million, respectively, for the three months ended September 30, 2025 and 2024 and $8.9 million and $7.1 million, respectively, for the nine months ended September 30, 2025 and 2024. Depreciation expense related to our manufacturing facilities and equipment is included in cost of sales and depreciation expense associated with administrative facilities and office equipment is included in selling, general and administrative expense within the accompanying condensed consolidated statements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no property was classified as assets held for sale within other current assets on the accompanying condensed consolidated balance sheets. At December 31, 2024, a total of $2.1 million of property was classified as assets held for sale within other current assets on the accompanying condensed consolidated balance sheets related to property in Glen Rock, Pennsylvania and several buildings in Zhongshan, PRC. During the three and nine months ended September 30, 2025, the Company recorded gains on sales related to these properties in the amounts of $1.6 million and $5.7 million, respectively.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10"/>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bonuses and related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32,478</w:t>
            </w: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5,823</w:t>
            </w: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commissions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2,616</w:t>
            </w: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accrual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10,560</w:t>
            </w: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53,031</w:t>
            </w: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warranty accrual during the nine months ended September 30, 2025 primarily related to repair costs incurred and adjustments to pre-existing warranties. There were no new material warranty charges incurred during the nine months ended September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and liability balances related to restructuring costs for the nine months ended September 30, 2025 are as follows: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rPr>
              <w:t>Liability at</w:t>
            </w:r>
          </w:p>
        </w:tc>
        <w:tc>
          <w:tcPr>
            <w:tcW w:w="200" w:type="dxa"/>
            <w:vAlign w:val="bottom"/>
          </w:tcPr>
          <w:p>
            <w:pPr>
              <w:spacing w:after="0"/>
              <w:rPr>
                <w:sz w:val="20"/>
                <w:szCs w:val="20"/>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20"/>
                <w:szCs w:val="20"/>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Liability at</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Cash Payments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New</w:t>
            </w:r>
          </w:p>
        </w:tc>
        <w:tc>
          <w:tcPr>
            <w:tcW w:w="1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and Other</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Charges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Settlements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4,547</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5,823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accrued restructuring costs at September 30, 2025 largely related to remaining liabilities associated with the Company's facility consolidation project in the PRC whereby two of our Magnetic Solutions manufacturing sites were consolidated into a single new site. During the first quarter of 2025, the Company recorded a $3.2 million reversal of other restructuring costs as a result of a non-cash settlement of liabilities related to this same project.</w:t>
      </w:r>
    </w:p>
    <w:p>
      <w:pPr>
        <w:sectPr>
          <w:pgSz w:w="11900" w:h="16838" w:orient="portrait"/>
          <w:cols w:equalWidth="0" w:num="1">
            <w:col w:w="11240"/>
          </w:cols>
          <w:pgMar w:left="320" w:top="121" w:right="339" w:bottom="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objective for holding derivative financial instruments is to manage foreign currency exchange rate risk and interest rate risk, when deemed appropriate. We enter into these contracts in the normal course of business to mitigate risks and not for speculative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Forward Contracts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risk management strategy, we periodically use foreign currency forward contracts to manage our short-term exposures to fluctuations in operational cash flows resulting from changes in foreign currency exchange rates. These cash flow exposures result from portions of our forecasted operating expenses, primarily compensation and related expenses, which are transacted in currencies other than the U.S. dollar, most notably the Chinese renminbi, Mexican peso and Israeli shekel. These foreign currency forward contracts generally have maturities of no longer than twelve months, although occasionally we will execute a contract that extends beyond twelve months, depending upon the nature of the underlying risk.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held outstanding foreign currency forward contracts with notional amounts of $43.2 million and $14.2 million as of September 30, 2025 and December 31, 2024, respectively. The Company's foreign currency forward contracts related to the Chinese renminbi are designated as cash flow hedges for accounting purposes and as such, changes in their fair value are recognized in accumulated other comprehensive loss in the consolidated balance sheet and are reclassified into the statement of operations within cost of goods sold in the period in which the hedged transaction affects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partially mitigate risks associated with the variable interest rates on the revolver borrowings under our Credit Agreement (as defined and described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below), in November 2021, we executed a pay-fixed, receive-variable interest rate swap agreement with each of two multinational financial institutions under which we, prior to the January 2023 amendment described below which transitioned the reference rate from LIBOR to SOFR,</w:t>
      </w:r>
    </w:p>
    <w:p>
      <w:pPr>
        <w:spacing w:after="0" w:line="1" w:lineRule="exact"/>
        <w:rPr>
          <w:sz w:val="20"/>
          <w:szCs w:val="20"/>
          <w:color w:val="auto"/>
        </w:rPr>
      </w:pPr>
    </w:p>
    <w:p>
      <w:pPr>
        <w:jc w:val="both"/>
        <w:ind w:firstLine="8"/>
        <w:spacing w:after="0" w:line="252"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interest at a fixed rate of 1.3055% and received variable interest of one-month LIBOR on a notional amount of $30.0 million and (ii) paid interest at a fixed rate of 1.3180% and received variable interest of one-month LIBOR on a notional amount of $30.0 million (as amended to date, the “2021 Swaps”). The 2021 Swaps will terminate on August 31, 2026. In January 2023, and in connection with related changes our Credit Agreement, we amended the 2021 Swaps to transition the related reference rates in these agreements from LIBOR to SOFR, effective January 31, 2023. Under the amended 2021 Swaps, we are required to pay interest on the notional amount at the rate of 1.334% and 1.348%, respectively, in exchange for the daily SOFR rate plus 10 basis points.</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2021 Swaps are designated as cash flow hedges for accounting purposes and as such, changes in their fair value are recognized in accumulated other comprehensive loss in the consolidated balance sheet and are reclassified into the statement of operations within interest expense in the period in which the hedged transaction affects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Derivative Financial Instruments</w:t>
      </w:r>
    </w:p>
    <w:p>
      <w:pPr>
        <w:spacing w:after="0" w:line="22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the gross fair values of the Company's derivative assets and liabilities as of September 30, 2025 and December 31, 2024.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 in Cash Flow Hedging Relationships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effects of derivative financial instruments designated as cash flow hedges on accumulated other comprehensive loss (“AOCL”) and on the condensed consolidated statements of operations for the three and nine months ended September 30, 2025 and 2024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4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980" w:type="dxa"/>
            <w:vAlign w:val="bottom"/>
          </w:tcPr>
          <w:p>
            <w:pPr>
              <w:spacing w:after="0"/>
              <w:rPr>
                <w:sz w:val="20"/>
                <w:szCs w:val="20"/>
                <w:color w:val="auto"/>
              </w:rPr>
            </w:pPr>
          </w:p>
        </w:tc>
        <w:tc>
          <w:tcPr>
            <w:tcW w:w="2140" w:type="dxa"/>
            <w:vAlign w:val="bottom"/>
            <w:gridSpan w:val="4"/>
          </w:tcPr>
          <w:p>
            <w:pPr>
              <w:jc w:val="right"/>
              <w:ind w:right="275"/>
              <w:spacing w:after="0"/>
              <w:rPr>
                <w:sz w:val="20"/>
                <w:szCs w:val="20"/>
                <w:color w:val="auto"/>
              </w:rPr>
            </w:pPr>
            <w:r>
              <w:rPr>
                <w:rFonts w:ascii="Times New Roman" w:cs="Times New Roman" w:eastAsia="Times New Roman" w:hAnsi="Times New Roman"/>
                <w:sz w:val="18"/>
                <w:szCs w:val="18"/>
                <w:color w:val="auto"/>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09"/>
        </w:trPr>
        <w:tc>
          <w:tcPr>
            <w:tcW w:w="59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gains recognized in AOCL:</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80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59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80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gains (losses) reclassified from AOCL to the consolidated statement of</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w:t>
            </w:r>
          </w:p>
        </w:tc>
        <w:tc>
          <w:tcPr>
            <w:tcW w:w="76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gains and losses related to the foreign currency forward contracts are included as a component of currency translation adjustment on the accompanying condensed consolidated statements of comprehensive income for the three and nine months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 Not Designated as Hedging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(losses) recognized on derivative financial instruments not designated as hedging instruments in our condensed consolidated statements of operations for the three and nine months ended September 30, 2025 and 2024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Classification in Consolidated Statements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Operations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Foreign currency forward</w:t>
            </w:r>
          </w:p>
        </w:tc>
        <w:tc>
          <w:tcPr>
            <w:tcW w:w="36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1"/>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Credit and Security Agreement with KeyBank National Association (as amended, the "Credit Agreement" or the "CSA") with a maximum revolving amount of $400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 2025, Bel entered into a Fourth Amendment Agreement (the “Fourth Amendment”) to the Credit Agreement, which made certain amendments to the Credit Agreement including: (i) increasing the maximum revolving amount from $325 million to $400 million pursuant to Section 2.10(b)(i)(A) of the Credit Agreement; (ii) extending the commitment period (and the final maturity for revolving loans borrowed under the credit agreement) to September 1, 2028; and (iii) providing an incremental extension of credit to the Company of $75 million concurrently with the effectiveness of the Fourth Amendment, consisting of (x) a $50 million commitment from Wells Fargo Bank, N.A., which joined the Credit Agreement as a new revolving lender pursuant to the Fourth Amendment, and (y) an aggregate $25 million commitment increase, on a pro rata basis, from the existing lenders party to the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Fourth Amendment, the parties additionally agreed to the text of a Conformed Amended and Restated Credit and Security Agreement (the “Conformed Amended and Restated Credit and Security Agreement”), which amended and restated the text of the Credit Agreement including so as to reflect and integrate the changes implemented pursuant to the Fourth Amendment, as well as the changes implemented pursuant to the previously disclosed First Amendment Agreement dated as of January 12, 2023, the Second Amendment Agreement dated as of September 18, 2024 and the Third Amendment Agreement dated as of November 14,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At September 30, 2025 and December 31, 2024, outstanding borrowings under the revolver amounted to $225.0 million and $287.5 million, respectively. The unused credit available under the credit facility was $175.0 million at September 30, 2025 and $37.5 million at December 31, 2024. The Company incurred $3.6 million and $0.4 million of interest expense during the three months ended September 30, 2025 and 2024, respectively, and $11.8 million and $1.3 million during the nine months ended September 30, 2025 and September 30, 2024, respectively, in connection with interest due on its outstanding borrowings under the CSA during each period, including the effects of the 2021 Swaps discussed in Note 10, </w:t>
      </w:r>
      <w:r>
        <w:rPr>
          <w:rFonts w:ascii="Times New Roman" w:cs="Times New Roman" w:eastAsia="Times New Roman" w:hAnsi="Times New Roman"/>
          <w:sz w:val="18"/>
          <w:szCs w:val="18"/>
          <w:i w:val="1"/>
          <w:iCs w:val="1"/>
          <w:color w:val="auto"/>
        </w:rPr>
        <w:t>"Derivative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and amortization of deferred financing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rate of interest for our total outstanding borrowings, including the impact of the 2021 Swaps, was 4.87% and 5.47%, respectively, as of September 30, 2025 and December 31, 2024. The interest rate in effect for the fixed-rate portion of our outstanding borrowings ($60 million at each of September 30, 2025 and December 31, 2024) was 2.59% at September 30, 2025 and 2.84% at December 31, 2024. The weighted-average interest rate in effect for the variable-rate portion of our outstanding borrowings ($165 million at September 30, 2025 and $227.5 million at December 31, 2024) was 4.18% at September 30, 2025 and 6.16% at December 31, 2024, and consisted of SOFR plus the Company’s credit spread at September 30, 2025 and December 31, 2024, respectively, as determined per the terms of the CSA.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CSA contains customary representations and warranties, covenants and events of default. In addition, the CSA contains financial covenants that measure (i) the ratio of the Company’s total funded indebtedness, on a consolidated basis, less the aggregate amount of all unencumbered cash and cash equivalents, to the amount of the Company’s consolidated EBITDA (or the “Leverage Ratio”), in each case as defined and calculated in accordance with the CSA, and (ii) the ratio of the amount of the Company’s consolidated EBITDA to the Company’s consolidated fixed charges (or the “Fixed Charge Coverage Ratio”), in each case as defined and calculated in accordance with the CSA. If an event of default occurs, the lenders under the CSA would be entitled to take various actions, including the acceleration of amounts due thereunder and all actions permitted to be taken by a secured creditor.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 Company was in compliance with its debt covenants, including its most restrictive covenant, the Fixed Charge Coverage Ratio.</w:t>
      </w:r>
    </w:p>
    <w:p>
      <w:pPr>
        <w:spacing w:after="0" w:line="248"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measure income tax expense for interim periods using the annual effective tax rate (“AETR”) method, as its estimated taxable income for future periods is not determined on a legal entity basis. The Company and its subsidiaries file income tax returns in the U.S. federal jurisdiction and various states and foreign jurisdictions. The Company is no longer subject to U.S. federal examinations by tax authorities for years prior to 2021 and state examinations for years prior to 2018. For foreign subsidiaries, the Company is generally no longer subject to tax examinations for years prior to 2015 in Asia and 2017 in Europe.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expiration of the statutes of limitations for certain jurisdictions, it is reasonably possible that unrecognized tax benefits related to previously filed tax returns may materially change from the amounts recorded as liabilities for uncertain tax positions in the Company’s condensed consolidated financial statements as of September 30, 2025. The Company’s liabilities for uncertain tax positions totaled $17.7 million as of September 30, 2025, compared to $18.1 million as of December 31, 2024. Approximately $0.4 million of these liabilities are expected to be resolved within the next twelve months due to statute expirations. These amounts, if recognized, would reduce the Company’s effective tax 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uncertain tax positions as a component of the current provision for income taxes. For the nine months ended September 30, 2025 and 2024, the Company recognized $0.2 million in each period, in interest and penalties in the condensed consolidated statements of operations. As of September 30, 2025, the Company had accrued approximately $1.4 million for the payment of interest and penalties, compared to $1.2 million as of December 31, 2024. These amounts are included in liability for uncertain tax positions in the condensed consolidated balance sheets.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United States Congress enacted The One Big Beautiful Bill Act (the “Act”) which includes several significant corporate provisions, including the restoration of 100% bonus depreciation; the immediate expensing of domestic research and experimentation expenditures; modifications to the Section 163(j) interest limitations; and updates to the rules for global intangible low-taxes income and foreign-derived intangible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to Expense Domestic Research and Experimentation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requirements of Section 174 of the Internal Revenue Code of 1986, as amended (the "Internal Revenue Code"), effective for the years beginning after December 31, 2021, taxpayers are required to capitalize and amortize domestic research and experimentation ("R&amp;E") expenditures over a five-year period. During the three months ended September 30, 2025, the Company elected, pursuant to provisions issued under the Act to expense over two years the prior year capitalization of domestic R&amp;E.</w:t>
      </w:r>
    </w:p>
    <w:p>
      <w:pPr>
        <w:sectPr>
          <w:pgSz w:w="11900" w:h="16838" w:orient="portrait"/>
          <w:cols w:equalWidth="0" w:num="1">
            <w:col w:w="11240"/>
          </w:cols>
          <w:pgMar w:left="320" w:top="121" w:right="339" w:bottom="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this election, the Company recognized an accelerated deduction for previously capitalized R&amp;E expenditures incurred in the prior year, resulting in a reduction in taxable income for the current period of approximately $8.5 million. The Company’s deferred tax assets reflect the impact of the election, and the Company believes it is more likely than not that its deferred tax assets will be realized, based on the Company’s forecasted taxable income.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SAVINGS AND DEFERRED COMPENSATION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the Bel Fuse Inc. Employees’ Savings Plan, a defined contribution plan that is intended to meet the applicable requirements for tax-qualification under sections 401(a) and (k) of the Internal Revenue Code. The expense for the three months ended September 30, 2025 and 2024 amounted to $0.3 million in each period. The expense for the nine months ended September 30, 2025 and 2024 amounted to 1.2 million in each period. The Company’s matching contribution is made in the form of Bel Class A common stock. As of September 30, 2025, the plan owned 238,062 and 47,641 shares of Bel Class A and Class B common stock, respectively.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maintains a Nonqualified Deferred Compensation Plan (the "DCP"). With certain exceptions, the Company's contributions to the DCP are discretionary and become fully vested by the participants upon reaching age 65. The expense for the three months ended September 30, 2025 and 2024 amounted to less than $0.1 million during each period. The expense for the nine months ended September 30, 2025 and 2024 amounted to $0.1 million during each period. As the plan is fully funded, the assets and liabilities related to the DCP were in equal amounts of $1.7 million at September 30, 2025 and $1.3 million at December 31, 2024. These amounts are included in other assets and other liabilities, respectively, on the accompanying condensed consolidated balance sheets as of each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subsidiaries in Asia maintain a retirement fund that covers substantially all Hong Kong-based full-time employees. Retirement fund expense for the three months ended September 30, 2025 was $0.1 million, compared to less than $0.1 million for the three months ended September 30, 2024. For the nine months ended September 30, 2025 and 2024, the expense amounted to $0.3 million and $0.2 million,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maintains a SERP, which is designed to provide a limited group of key management and other key employees of the Company with supplemental retirement and death benefits. As discussed in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above, the Company has investments in a rabbi trust which are intended to fund the obligations of the SERP.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SERP expense are as follows: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80" w:type="dxa"/>
            <w:vAlign w:val="bottom"/>
            <w:gridSpan w:val="4"/>
          </w:tcPr>
          <w:p>
            <w:pPr>
              <w:jc w:val="right"/>
              <w:ind w:right="174"/>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8"/>
                <w:szCs w:val="18"/>
                <w:color w:val="auto"/>
                <w:w w:val="98"/>
              </w:rPr>
              <w:t>September 30,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9"/>
              </w:rPr>
              <w:t>September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8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w:t>
            </w:r>
          </w:p>
        </w:tc>
        <w:tc>
          <w:tcPr>
            <w:tcW w:w="8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11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18"/>
                <w:szCs w:val="18"/>
                <w:color w:val="auto"/>
              </w:rPr>
            </w:pP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80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1,032</w:t>
            </w:r>
          </w:p>
        </w:tc>
      </w:tr>
      <w:tr>
        <w:trPr>
          <w:trHeight w:val="20"/>
        </w:trPr>
        <w:tc>
          <w:tcPr>
            <w:tcW w:w="1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service cost component of net benefit cost is presented within cost of sales, research and development costs or selling, general and administrative expense on the accompanying condensed consolidated statements of operations, in accordance with where compensation cost for the related associate is reported. All other components of net benefit cost, including interest cost and net amortization noted above, are presented within other income (expense), net in the accompanying condensed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are recognized net of tax in accumulated other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(3,139)</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(3,171)</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284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tcPr>
          <w:p>
            <w:pPr>
              <w:jc w:val="right"/>
              <w:ind w:right="99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at September 30, 2025 and December 31, 2024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net of taxes of ($312) at September 30, 2025 and ($312) at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(22,328)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(21,966)</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gains on interest rate swap cash flow hedge, net of taxes of $0 at September 30, 2025 and $0 at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holding gains on marketable securities, net of taxes of ($7) at September 30, 2025 and ($7) at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Unfunded SERP liability, net of taxes of $1,159 at September 30, 2025 and $1,183 at December 31, 2024</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1,989</w:t>
            </w:r>
          </w:p>
        </w:tc>
      </w:tr>
      <w:tr>
        <w:trPr>
          <w:trHeight w:val="209"/>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(19,090)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(17,227)</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during the nine months ended September 30, 2025 are as set forth below. All amounts are net of tax:</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Gains on</w:t>
            </w: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Unrealized Holding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Interest Rate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Translation</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Swap</w:t>
            </w:r>
          </w:p>
        </w:tc>
        <w:tc>
          <w:tcPr>
            <w:tcW w:w="2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Gains on</w:t>
            </w:r>
          </w:p>
        </w:tc>
        <w:tc>
          <w:tcPr>
            <w:tcW w:w="18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Unfunded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Cash Flow</w:t>
            </w:r>
          </w:p>
        </w:tc>
        <w:tc>
          <w:tcPr>
            <w:tcW w:w="2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Marketable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Adjustment</w:t>
            </w:r>
          </w:p>
        </w:tc>
        <w:tc>
          <w:tcPr>
            <w:tcW w:w="1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Hedge</w:t>
            </w:r>
          </w:p>
        </w:tc>
        <w:tc>
          <w:tcPr>
            <w:tcW w:w="22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Securities</w:t>
            </w: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SERP Liability</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(17,227)</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Amount reclassified from accumulated other</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(1,408)</w:t>
            </w:r>
          </w:p>
        </w:tc>
        <w:tc>
          <w:tcPr>
            <w:tcW w:w="22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(19,090)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reclassification relates to the amortization of prior service costs and gains/losses associated with the Company's SERP. This expense is reflected in other income (expense), net on the accompanying condensed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Proceedings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party to a number of legal actions and claims, none of which individually or in the aggregate, in the opinion of management, are expected to have a material adverse effect on the Company's consolidated results of operations or consolidated financial position.</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June 23, 2021, a patent infringement lawsuit styled </w:t>
      </w:r>
      <w:r>
        <w:rPr>
          <w:rFonts w:ascii="Times New Roman" w:cs="Times New Roman" w:eastAsia="Times New Roman" w:hAnsi="Times New Roman"/>
          <w:sz w:val="18"/>
          <w:szCs w:val="18"/>
          <w:i w:val="1"/>
          <w:iCs w:val="1"/>
          <w:color w:val="auto"/>
        </w:rPr>
        <w:t>Bel Power Solutions, Inc. v. Monolithic Power Systems, Inc.,</w:t>
      </w:r>
      <w:r>
        <w:rPr>
          <w:rFonts w:ascii="Times New Roman" w:cs="Times New Roman" w:eastAsia="Times New Roman" w:hAnsi="Times New Roman"/>
          <w:sz w:val="18"/>
          <w:szCs w:val="18"/>
          <w:color w:val="auto"/>
        </w:rPr>
        <w:t xml:space="preserve"> Case Number 6:21cv00655, was filed in the United States District Court for the Western District of Texas (Waco Division) by Bel Power Solutions, Inc. against Monolithic Power Systems, Inc. ("MPS") for infringement of various patents directed towards systems, methods and articles of manufacture that provide a substantial improvement in power control for circuits, including novel and unique point-of-load regulators. On July 27, 2023, the Western District of Texas court filed an Order granting MPS’s motion for summary judgment of non-infringement. The Court’s memorandum and opinion is forthcoming. The Company is evaluating its options for appeal.</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Company's 2014 acquisition of the Power-One Power Solutions business ("Power Solutions") of ABB Ltd ("ABB"), there is an ongoing claim by the Arezzo Revenue Agency in Italy concerning certain tax matters related to what was then Power-One Asia Pacific Electronics Shenzhen Co. Ltd. (now Bel Power Solutions Asia Pacific Electronics Shenzhen Co. Ltd, or “BPS China”) for the years 2004 to 2006. In September 2012, the Tax Court of Arezzo ruled in favor of BPS China and cancelled the claim. In February 2013, the Arezzo Revenue Agency filed an appeal of the Tax Court’s ruling. The hearing of the appeal was held on October 2, 2014. On October 13, 2014, BPS China was informed of the Regional Tax Commission of Florence ruling which was in favor of the Arezzo Revenue Agency and against BPS China. An appeal was filed on July 18, 2015 before the Regional Tax Commission of Florence and rejected. On December 5, 2016, the Arezzo Revenue Agency filed an appeal with the Supreme Court and BPS China filed a counter-appeal on January 4, 2017. The Supreme Court rendered a judgment against BPS China in March 2024. BPS China filed an appeal in July 2024. The estimated liability related to this matter is approximately $12.0 million and has been included as a liability for uncertain tax positions on the accompanying condensed consolidated balance sheets at September 30, 2025 and December 31, 2024. As Bel is entitled to be fully indemnified in this matter per the terms of the stock purchase agreement with ABB, a corresponding other asset for indemnification is also included in other assets on the accompanying condensed consolidated balance sheets at September 30, 2025 and December 31, 2024.</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Company's 2021 acquisition of EOS Power ("EOS"), there is an ongoing claim asserted with respect to EOS by the Principal Commissioner of Customs (Preventive), Mumbai related to customs duties and imposed fines and penalties dating back to 1994. The original demand was in the amount of approximately $1.4 million, of which EOS has paid $0.5 million. EOS filed an Appeal in 2016 which is pending with the Customs, Excise and Service Tax Appellate Tribunal in Mumbai related to the $0.9 million balance of the original demand net of EOS' payment. As part of the EOS acquisition agreement entered into in March 2021, the Company is entitled to be indemnified for this matter for a period of 7 years from the acquisition date. The Company is unable to determine at this time what amount, if any, may ultimately be due in connection with this claim. As such, no estimate was accrued as of September 30,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legal proceeding, the adverse outcome of which is likely to have a material adverse effect on the Company's consolidated financial condition or consolidated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one industry with three reportable operating segments, which represent the Company's three product groups, consisting of Power Solutions and Protection, Connectivity Solutions and Magnetic Solutions. The primary criteria by which financial performance is evaluated and resources are allocated are revenue and gross profit. The following is a summary of key financial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Power Solutions</w:t>
            </w:r>
          </w:p>
        </w:tc>
        <w:tc>
          <w:tcPr>
            <w:tcW w:w="120" w:type="dxa"/>
            <w:vAlign w:val="bottom"/>
          </w:tcPr>
          <w:p>
            <w:pPr>
              <w:spacing w:after="0"/>
              <w:rPr>
                <w:sz w:val="16"/>
                <w:szCs w:val="16"/>
                <w:color w:val="auto"/>
              </w:rPr>
            </w:pPr>
          </w:p>
        </w:tc>
        <w:tc>
          <w:tcPr>
            <w:tcW w:w="1360" w:type="dxa"/>
            <w:vAlign w:val="bottom"/>
            <w:gridSpan w:val="2"/>
          </w:tcPr>
          <w:p>
            <w:pPr>
              <w:jc w:val="right"/>
              <w:ind w:right="400"/>
              <w:spacing w:after="0" w:line="191" w:lineRule="exact"/>
              <w:rPr>
                <w:sz w:val="20"/>
                <w:szCs w:val="20"/>
                <w:color w:val="auto"/>
              </w:rPr>
            </w:pPr>
            <w:r>
              <w:rPr>
                <w:rFonts w:ascii="Times New Roman" w:cs="Times New Roman" w:eastAsia="Times New Roman" w:hAnsi="Times New Roman"/>
                <w:sz w:val="18"/>
                <w:szCs w:val="18"/>
                <w:color w:val="auto"/>
              </w:rPr>
              <w:t>Connectivity</w:t>
            </w:r>
          </w:p>
        </w:tc>
        <w:tc>
          <w:tcPr>
            <w:tcW w:w="180" w:type="dxa"/>
            <w:vAlign w:val="bottom"/>
          </w:tcPr>
          <w:p>
            <w:pPr>
              <w:spacing w:after="0"/>
              <w:rPr>
                <w:sz w:val="16"/>
                <w:szCs w:val="16"/>
                <w:color w:val="auto"/>
              </w:rPr>
            </w:pPr>
          </w:p>
        </w:tc>
        <w:tc>
          <w:tcPr>
            <w:tcW w:w="1280" w:type="dxa"/>
            <w:vAlign w:val="bottom"/>
            <w:gridSpan w:val="2"/>
          </w:tcPr>
          <w:p>
            <w:pPr>
              <w:jc w:val="right"/>
              <w:ind w:right="520"/>
              <w:spacing w:after="0" w:line="191" w:lineRule="exact"/>
              <w:rPr>
                <w:sz w:val="20"/>
                <w:szCs w:val="20"/>
                <w:color w:val="auto"/>
              </w:rPr>
            </w:pPr>
            <w:r>
              <w:rPr>
                <w:rFonts w:ascii="Times New Roman" w:cs="Times New Roman" w:eastAsia="Times New Roman" w:hAnsi="Times New Roman"/>
                <w:sz w:val="18"/>
                <w:szCs w:val="18"/>
                <w:color w:val="auto"/>
              </w:rPr>
              <w:t>Magnetic</w:t>
            </w: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Protection</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Solutions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Solutions</w:t>
            </w:r>
          </w:p>
        </w:tc>
        <w:tc>
          <w:tcPr>
            <w:tcW w:w="260" w:type="dxa"/>
            <w:vAlign w:val="bottom"/>
          </w:tcPr>
          <w:p>
            <w:pPr>
              <w:spacing w:after="0"/>
              <w:rPr>
                <w:sz w:val="20"/>
                <w:szCs w:val="20"/>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Corporate/Other</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Borders>
              <w:right w:val="single" w:sz="8" w:color="CCEEFF"/>
            </w:tcBorders>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94,406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61,870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22,704</w:t>
            </w:r>
          </w:p>
        </w:tc>
        <w:tc>
          <w:tcPr>
            <w:tcW w:w="6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178,980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54,907</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36,935</w:t>
            </w: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16,109</w:t>
            </w:r>
          </w:p>
        </w:tc>
        <w:tc>
          <w:tcPr>
            <w:tcW w:w="6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Borders>
              <w:right w:val="single" w:sz="8" w:color="CCEEFF"/>
            </w:tcBorders>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39,499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24,935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6,595</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 %</w:t>
            </w: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6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Borders>
              <w:right w:val="single" w:sz="8" w:color="CCEEFF"/>
            </w:tcBorders>
          </w:tcPr>
          <w:p>
            <w:pPr>
              <w:spacing w:after="0"/>
              <w:rPr>
                <w:sz w:val="16"/>
                <w:szCs w:val="16"/>
                <w:color w:val="auto"/>
              </w:rPr>
            </w:pPr>
          </w:p>
        </w:tc>
        <w:tc>
          <w:tcPr>
            <w:tcW w:w="178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Research and</w:t>
            </w: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32,804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Gain on sale of</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Borders>
              <w:right w:val="single" w:sz="8" w:color="CCEEFF"/>
            </w:tcBorders>
          </w:tcPr>
          <w:p>
            <w:pPr>
              <w:spacing w:after="0"/>
              <w:rPr>
                <w:sz w:val="17"/>
                <w:szCs w:val="17"/>
                <w:color w:val="auto"/>
              </w:rPr>
            </w:pP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Earnout liability</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Other income/expense,</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40" w:type="dxa"/>
            <w:vAlign w:val="bottom"/>
            <w:tcBorders>
              <w:right w:val="single" w:sz="8" w:color="CCEEFF"/>
            </w:tcBorders>
          </w:tcPr>
          <w:p>
            <w:pPr>
              <w:spacing w:after="0"/>
              <w:rPr>
                <w:sz w:val="16"/>
                <w:szCs w:val="16"/>
                <w:color w:val="auto"/>
              </w:rPr>
            </w:pPr>
          </w:p>
        </w:tc>
        <w:tc>
          <w:tcPr>
            <w:tcW w:w="178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Earnings before</w:t>
            </w: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taxes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right w:val="single" w:sz="8" w:color="CCEEFF"/>
            </w:tcBorders>
          </w:tcPr>
          <w:p>
            <w:pPr>
              <w:spacing w:after="0"/>
              <w:rPr>
                <w:sz w:val="15"/>
                <w:szCs w:val="15"/>
                <w:color w:val="auto"/>
              </w:rPr>
            </w:pPr>
          </w:p>
        </w:tc>
        <w:tc>
          <w:tcPr>
            <w:tcW w:w="10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Other Segment</w:t>
            </w:r>
          </w:p>
        </w:tc>
        <w:tc>
          <w:tcPr>
            <w:tcW w:w="7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Disclosures: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Total Assets</w:t>
            </w:r>
          </w:p>
        </w:tc>
        <w:tc>
          <w:tcPr>
            <w:tcW w:w="900" w:type="dxa"/>
            <w:vAlign w:val="bottom"/>
            <w:tcBorders>
              <w:top w:val="single" w:sz="8" w:color="CCEEFF"/>
            </w:tcBorders>
            <w:gridSpan w:val="2"/>
          </w:tcPr>
          <w:p>
            <w:pPr>
              <w:spacing w:after="0"/>
              <w:rPr>
                <w:sz w:val="18"/>
                <w:szCs w:val="18"/>
                <w:color w:val="auto"/>
              </w:rPr>
            </w:pPr>
          </w:p>
        </w:tc>
        <w:tc>
          <w:tcPr>
            <w:tcW w:w="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654,182</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184,840</w:t>
            </w:r>
          </w:p>
        </w:tc>
        <w:tc>
          <w:tcPr>
            <w:tcW w:w="180" w:type="dxa"/>
            <w:vAlign w:val="bottom"/>
            <w:tcBorders>
              <w:top w:val="single" w:sz="8" w:color="CCEEFF"/>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53,736</w:t>
            </w:r>
          </w:p>
        </w:tc>
        <w:tc>
          <w:tcPr>
            <w:tcW w:w="680" w:type="dxa"/>
            <w:vAlign w:val="bottom"/>
            <w:tcBorders>
              <w:top w:val="single" w:sz="8" w:color="CCEEFF"/>
            </w:tcBorders>
          </w:tcPr>
          <w:p>
            <w:pPr>
              <w:jc w:val="right"/>
              <w:ind w:right="5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60,046</w:t>
            </w: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952,804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1,760</w:t>
            </w: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6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Power Solutions</w:t>
            </w:r>
          </w:p>
        </w:tc>
        <w:tc>
          <w:tcPr>
            <w:tcW w:w="120" w:type="dxa"/>
            <w:vAlign w:val="bottom"/>
          </w:tcPr>
          <w:p>
            <w:pPr>
              <w:spacing w:after="0"/>
              <w:rPr>
                <w:sz w:val="16"/>
                <w:szCs w:val="16"/>
                <w:color w:val="auto"/>
              </w:rPr>
            </w:pPr>
          </w:p>
        </w:tc>
        <w:tc>
          <w:tcPr>
            <w:tcW w:w="136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8"/>
              </w:rPr>
              <w:t>Connectivity</w:t>
            </w:r>
          </w:p>
        </w:tc>
        <w:tc>
          <w:tcPr>
            <w:tcW w:w="180" w:type="dxa"/>
            <w:vAlign w:val="bottom"/>
          </w:tcPr>
          <w:p>
            <w:pPr>
              <w:spacing w:after="0"/>
              <w:rPr>
                <w:sz w:val="16"/>
                <w:szCs w:val="16"/>
                <w:color w:val="auto"/>
              </w:rPr>
            </w:pPr>
          </w:p>
        </w:tc>
        <w:tc>
          <w:tcPr>
            <w:tcW w:w="1280" w:type="dxa"/>
            <w:vAlign w:val="bottom"/>
            <w:gridSpan w:val="2"/>
          </w:tcPr>
          <w:p>
            <w:pPr>
              <w:jc w:val="right"/>
              <w:ind w:right="520"/>
              <w:spacing w:after="0" w:line="191" w:lineRule="exact"/>
              <w:rPr>
                <w:sz w:val="20"/>
                <w:szCs w:val="20"/>
                <w:color w:val="auto"/>
              </w:rPr>
            </w:pPr>
            <w:r>
              <w:rPr>
                <w:rFonts w:ascii="Times New Roman" w:cs="Times New Roman" w:eastAsia="Times New Roman" w:hAnsi="Times New Roman"/>
                <w:sz w:val="18"/>
                <w:szCs w:val="18"/>
                <w:color w:val="auto"/>
              </w:rPr>
              <w:t>Magnetic</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Protection</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Solutions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Solutions</w:t>
            </w:r>
          </w:p>
        </w:tc>
        <w:tc>
          <w:tcPr>
            <w:tcW w:w="26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Corporate/Other</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55,715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19,243</w:t>
            </w: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123,638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29,513</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35,310</w:t>
            </w: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13,998</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78,961</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19,167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5,245</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44,677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 %</w:t>
            </w: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91"/>
        </w:trPr>
        <w:tc>
          <w:tcPr>
            <w:tcW w:w="1140" w:type="dxa"/>
            <w:vAlign w:val="bottom"/>
            <w:tcBorders>
              <w:right w:val="single" w:sz="8" w:color="CCEEFF"/>
            </w:tcBorders>
          </w:tcPr>
          <w:p>
            <w:pPr>
              <w:spacing w:after="0"/>
              <w:rPr>
                <w:sz w:val="16"/>
                <w:szCs w:val="16"/>
                <w:color w:val="auto"/>
              </w:rPr>
            </w:pPr>
          </w:p>
        </w:tc>
        <w:tc>
          <w:tcPr>
            <w:tcW w:w="178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Research and</w:t>
            </w: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26,700</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Other income/expense,</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40" w:type="dxa"/>
            <w:vAlign w:val="bottom"/>
            <w:tcBorders>
              <w:right w:val="single" w:sz="8" w:color="CCEEFF"/>
            </w:tcBorders>
          </w:tcPr>
          <w:p>
            <w:pPr>
              <w:spacing w:after="0"/>
              <w:rPr>
                <w:sz w:val="16"/>
                <w:szCs w:val="16"/>
                <w:color w:val="auto"/>
              </w:rPr>
            </w:pPr>
          </w:p>
        </w:tc>
        <w:tc>
          <w:tcPr>
            <w:tcW w:w="178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Earnings before</w:t>
            </w: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11,188</w:t>
            </w: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taxes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Borders>
              <w:right w:val="single" w:sz="8" w:color="CCEEFF"/>
            </w:tcBorders>
          </w:tcPr>
          <w:p>
            <w:pPr>
              <w:spacing w:after="0"/>
              <w:rPr>
                <w:sz w:val="17"/>
                <w:szCs w:val="17"/>
                <w:color w:val="auto"/>
              </w:rPr>
            </w:pPr>
          </w:p>
        </w:tc>
        <w:tc>
          <w:tcPr>
            <w:tcW w:w="17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Segment</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189,091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232,572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57,832</w:t>
            </w:r>
          </w:p>
        </w:tc>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104,922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584,417</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1,735</w:t>
            </w: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6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864"/>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Power Solutions</w:t>
            </w:r>
          </w:p>
        </w:tc>
        <w:tc>
          <w:tcPr>
            <w:tcW w:w="120" w:type="dxa"/>
            <w:vAlign w:val="bottom"/>
          </w:tcPr>
          <w:p>
            <w:pPr>
              <w:spacing w:after="0"/>
              <w:rPr>
                <w:sz w:val="16"/>
                <w:szCs w:val="16"/>
                <w:color w:val="auto"/>
              </w:rPr>
            </w:pPr>
          </w:p>
        </w:tc>
        <w:tc>
          <w:tcPr>
            <w:tcW w:w="136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8"/>
              </w:rPr>
              <w:t>Connectivity</w:t>
            </w:r>
          </w:p>
        </w:tc>
        <w:tc>
          <w:tcPr>
            <w:tcW w:w="180" w:type="dxa"/>
            <w:vAlign w:val="bottom"/>
          </w:tcPr>
          <w:p>
            <w:pPr>
              <w:spacing w:after="0"/>
              <w:rPr>
                <w:sz w:val="16"/>
                <w:szCs w:val="16"/>
                <w:color w:val="auto"/>
              </w:rPr>
            </w:pPr>
          </w:p>
        </w:tc>
        <w:tc>
          <w:tcPr>
            <w:tcW w:w="1280" w:type="dxa"/>
            <w:vAlign w:val="bottom"/>
            <w:gridSpan w:val="2"/>
          </w:tcPr>
          <w:p>
            <w:pPr>
              <w:jc w:val="right"/>
              <w:ind w:right="520"/>
              <w:spacing w:after="0" w:line="191" w:lineRule="exact"/>
              <w:rPr>
                <w:sz w:val="20"/>
                <w:szCs w:val="20"/>
                <w:color w:val="auto"/>
              </w:rPr>
            </w:pPr>
            <w:r>
              <w:rPr>
                <w:rFonts w:ascii="Times New Roman" w:cs="Times New Roman" w:eastAsia="Times New Roman" w:hAnsi="Times New Roman"/>
                <w:sz w:val="18"/>
                <w:szCs w:val="18"/>
                <w:color w:val="auto"/>
              </w:rPr>
              <w:t>Magnetic</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Protection</w:t>
            </w:r>
          </w:p>
        </w:tc>
        <w:tc>
          <w:tcPr>
            <w:tcW w:w="12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Solutions</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Solutions</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Corporate/Other</w:t>
            </w:r>
          </w:p>
        </w:tc>
        <w:tc>
          <w:tcPr>
            <w:tcW w:w="2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1140" w:type="dxa"/>
            <w:vAlign w:val="bottom"/>
            <w:tcBorders>
              <w:right w:val="single" w:sz="8" w:color="CCEEFF"/>
            </w:tcBorders>
          </w:tcPr>
          <w:p>
            <w:pPr>
              <w:spacing w:after="0"/>
              <w:rPr>
                <w:sz w:val="18"/>
                <w:szCs w:val="18"/>
                <w:color w:val="auto"/>
              </w:rPr>
            </w:pPr>
          </w:p>
        </w:tc>
        <w:tc>
          <w:tcPr>
            <w:tcW w:w="17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63,456</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499,517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153,029</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104,463</w:t>
            </w: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45,902</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304,475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111,230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67,339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17,554</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195,042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 %</w:t>
            </w: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191"/>
        </w:trPr>
        <w:tc>
          <w:tcPr>
            <w:tcW w:w="1140" w:type="dxa"/>
            <w:vAlign w:val="bottom"/>
            <w:tcBorders>
              <w:right w:val="single" w:sz="8" w:color="CCEEFF"/>
            </w:tcBorders>
          </w:tcPr>
          <w:p>
            <w:pPr>
              <w:spacing w:after="0"/>
              <w:rPr>
                <w:sz w:val="16"/>
                <w:szCs w:val="16"/>
                <w:color w:val="auto"/>
              </w:rPr>
            </w:pPr>
          </w:p>
        </w:tc>
        <w:tc>
          <w:tcPr>
            <w:tcW w:w="178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Research and</w:t>
            </w: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22,875</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93,225</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credits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Gain on sale of</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198"/>
        </w:trPr>
        <w:tc>
          <w:tcPr>
            <w:tcW w:w="1140" w:type="dxa"/>
            <w:vAlign w:val="bottom"/>
            <w:tcBorders>
              <w:right w:val="single" w:sz="8" w:color="CCEEFF"/>
            </w:tcBorders>
          </w:tcPr>
          <w:p>
            <w:pPr>
              <w:spacing w:after="0"/>
              <w:rPr>
                <w:sz w:val="17"/>
                <w:szCs w:val="17"/>
                <w:color w:val="auto"/>
              </w:rPr>
            </w:pPr>
          </w:p>
        </w:tc>
        <w:tc>
          <w:tcPr>
            <w:tcW w:w="17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Earnout liability</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11,775</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Other income/expense,</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(11,265)</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40" w:type="dxa"/>
            <w:vAlign w:val="bottom"/>
            <w:tcBorders>
              <w:right w:val="single" w:sz="8" w:color="CCEEFF"/>
            </w:tcBorders>
          </w:tcPr>
          <w:p>
            <w:pPr>
              <w:spacing w:after="0"/>
              <w:rPr>
                <w:sz w:val="16"/>
                <w:szCs w:val="16"/>
                <w:color w:val="auto"/>
              </w:rPr>
            </w:pPr>
          </w:p>
        </w:tc>
        <w:tc>
          <w:tcPr>
            <w:tcW w:w="178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Earnings before</w:t>
            </w: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85,487</w:t>
            </w:r>
          </w:p>
        </w:tc>
        <w:tc>
          <w:tcPr>
            <w:tcW w:w="0" w:type="dxa"/>
            <w:vAlign w:val="bottom"/>
          </w:tcPr>
          <w:p>
            <w:pPr>
              <w:spacing w:after="0"/>
              <w:rPr>
                <w:sz w:val="1"/>
                <w:szCs w:val="1"/>
                <w:color w:val="auto"/>
              </w:rPr>
            </w:pPr>
          </w:p>
        </w:tc>
      </w:tr>
      <w:tr>
        <w:trPr>
          <w:trHeight w:val="234"/>
        </w:trPr>
        <w:tc>
          <w:tcPr>
            <w:tcW w:w="1140" w:type="dxa"/>
            <w:vAlign w:val="bottom"/>
            <w:tcBorders>
              <w:right w:val="single" w:sz="8" w:color="CCEEFF"/>
            </w:tcBorders>
          </w:tcPr>
          <w:p>
            <w:pPr>
              <w:spacing w:after="0"/>
              <w:rPr>
                <w:sz w:val="20"/>
                <w:szCs w:val="20"/>
                <w:color w:val="auto"/>
              </w:rPr>
            </w:pPr>
          </w:p>
        </w:tc>
        <w:tc>
          <w:tcPr>
            <w:tcW w:w="178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taxes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right w:val="single" w:sz="8" w:color="CCEEFF"/>
            </w:tcBorders>
          </w:tcPr>
          <w:p>
            <w:pPr>
              <w:spacing w:after="0"/>
              <w:rPr>
                <w:sz w:val="15"/>
                <w:szCs w:val="15"/>
                <w:color w:val="auto"/>
              </w:rPr>
            </w:pPr>
          </w:p>
        </w:tc>
        <w:tc>
          <w:tcPr>
            <w:tcW w:w="108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Other Segment</w:t>
            </w:r>
          </w:p>
        </w:tc>
        <w:tc>
          <w:tcPr>
            <w:tcW w:w="7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Disclosures: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Total Assets</w:t>
            </w:r>
          </w:p>
        </w:tc>
        <w:tc>
          <w:tcPr>
            <w:tcW w:w="900" w:type="dxa"/>
            <w:vAlign w:val="bottom"/>
            <w:tcBorders>
              <w:top w:val="single" w:sz="8" w:color="CCEEFF"/>
            </w:tcBorders>
            <w:gridSpan w:val="2"/>
          </w:tcPr>
          <w:p>
            <w:pPr>
              <w:spacing w:after="0"/>
              <w:rPr>
                <w:sz w:val="18"/>
                <w:szCs w:val="18"/>
                <w:color w:val="auto"/>
              </w:rPr>
            </w:pPr>
          </w:p>
        </w:tc>
        <w:tc>
          <w:tcPr>
            <w:tcW w:w="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654,182</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184,840</w:t>
            </w:r>
          </w:p>
        </w:tc>
        <w:tc>
          <w:tcPr>
            <w:tcW w:w="180" w:type="dxa"/>
            <w:vAlign w:val="bottom"/>
            <w:tcBorders>
              <w:top w:val="single" w:sz="8" w:color="CCEEFF"/>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53,736</w:t>
            </w:r>
          </w:p>
        </w:tc>
        <w:tc>
          <w:tcPr>
            <w:tcW w:w="640" w:type="dxa"/>
            <w:vAlign w:val="bottom"/>
            <w:tcBorders>
              <w:top w:val="single" w:sz="8" w:color="CCEEFF"/>
            </w:tcBorders>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60,046</w:t>
            </w: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952,804</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8,578</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7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13,503</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5,279</w:t>
            </w: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w:t>
            </w:r>
          </w:p>
        </w:tc>
        <w:tc>
          <w:tcPr>
            <w:tcW w:w="6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19,936</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8" w:right="1440" w:bottom="1136" w:gutter="0" w:footer="0" w:header="0"/>
        </w:sect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136"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Power Solutions</w:t>
            </w:r>
          </w:p>
        </w:tc>
        <w:tc>
          <w:tcPr>
            <w:tcW w:w="120" w:type="dxa"/>
            <w:vAlign w:val="bottom"/>
          </w:tcPr>
          <w:p>
            <w:pPr>
              <w:spacing w:after="0"/>
              <w:rPr>
                <w:sz w:val="16"/>
                <w:szCs w:val="16"/>
                <w:color w:val="auto"/>
              </w:rPr>
            </w:pPr>
          </w:p>
        </w:tc>
        <w:tc>
          <w:tcPr>
            <w:tcW w:w="1360" w:type="dxa"/>
            <w:vAlign w:val="bottom"/>
            <w:gridSpan w:val="2"/>
          </w:tcPr>
          <w:p>
            <w:pPr>
              <w:jc w:val="right"/>
              <w:ind w:right="400"/>
              <w:spacing w:after="0" w:line="191" w:lineRule="exact"/>
              <w:rPr>
                <w:sz w:val="20"/>
                <w:szCs w:val="20"/>
                <w:color w:val="auto"/>
              </w:rPr>
            </w:pPr>
            <w:r>
              <w:rPr>
                <w:rFonts w:ascii="Times New Roman" w:cs="Times New Roman" w:eastAsia="Times New Roman" w:hAnsi="Times New Roman"/>
                <w:sz w:val="18"/>
                <w:szCs w:val="18"/>
                <w:color w:val="auto"/>
              </w:rPr>
              <w:t>Connectivity</w:t>
            </w:r>
          </w:p>
        </w:tc>
        <w:tc>
          <w:tcPr>
            <w:tcW w:w="180" w:type="dxa"/>
            <w:vAlign w:val="bottom"/>
          </w:tcPr>
          <w:p>
            <w:pPr>
              <w:spacing w:after="0"/>
              <w:rPr>
                <w:sz w:val="16"/>
                <w:szCs w:val="16"/>
                <w:color w:val="auto"/>
              </w:rPr>
            </w:pPr>
          </w:p>
        </w:tc>
        <w:tc>
          <w:tcPr>
            <w:tcW w:w="1280" w:type="dxa"/>
            <w:vAlign w:val="bottom"/>
            <w:gridSpan w:val="2"/>
          </w:tcPr>
          <w:p>
            <w:pPr>
              <w:jc w:val="right"/>
              <w:ind w:right="520"/>
              <w:spacing w:after="0" w:line="191" w:lineRule="exact"/>
              <w:rPr>
                <w:sz w:val="20"/>
                <w:szCs w:val="20"/>
                <w:color w:val="auto"/>
              </w:rPr>
            </w:pPr>
            <w:r>
              <w:rPr>
                <w:rFonts w:ascii="Times New Roman" w:cs="Times New Roman" w:eastAsia="Times New Roman" w:hAnsi="Times New Roman"/>
                <w:sz w:val="18"/>
                <w:szCs w:val="18"/>
                <w:color w:val="auto"/>
              </w:rPr>
              <w:t>Magnetic</w:t>
            </w: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and Protection</w:t>
            </w:r>
          </w:p>
        </w:tc>
        <w:tc>
          <w:tcPr>
            <w:tcW w:w="12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Solutions</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Solutions</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Corporate/Other</w:t>
            </w:r>
          </w:p>
        </w:tc>
        <w:tc>
          <w:tcPr>
            <w:tcW w:w="2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49,633</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384,933</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95,059</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105,287</w:t>
            </w: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37,772</w:t>
            </w:r>
          </w:p>
        </w:tc>
        <w:tc>
          <w:tcPr>
            <w:tcW w:w="6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238,782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72,419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62,535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11,861</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146,151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 %</w:t>
            </w: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6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180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Research and</w:t>
            </w: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16,652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75,785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income/expense,</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180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Earnings before</w:t>
            </w: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80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taxes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Segment</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189,091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232,572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57,832</w:t>
            </w:r>
          </w:p>
        </w:tc>
        <w:tc>
          <w:tcPr>
            <w:tcW w:w="6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584,417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4,686</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5,112</w:t>
            </w: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6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10,759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information in this Management’s Discussion and Analysis of Financial Condition and Results of Operations (“MD&amp;A”) should be read in conjunction with the Company’s condensed consolidated financial statements and the related notes set forth in Item 1 of Part I of this Quarterly Report on Form 10-Q, our MD&amp;A set forth in Item 7 of Part II of our 2024 Annual Report on Form 10-K and our consolidated financial statements and related notes set forth in Item 8 of Part II of our 2024 Annual Report on Form 10-K. See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below and </w:t>
      </w:r>
      <w:r>
        <w:rPr>
          <w:rFonts w:ascii="Times New Roman" w:cs="Times New Roman" w:eastAsia="Times New Roman" w:hAnsi="Times New Roman"/>
          <w:sz w:val="18"/>
          <w:szCs w:val="18"/>
          <w:i w:val="1"/>
          <w:iCs w:val="1"/>
          <w:color w:val="auto"/>
        </w:rPr>
        <w:t xml:space="preserve">“Cautionary Notice Regarding Forward-Looking Information,” </w:t>
      </w:r>
      <w:r>
        <w:rPr>
          <w:rFonts w:ascii="Times New Roman" w:cs="Times New Roman" w:eastAsia="Times New Roman" w:hAnsi="Times New Roman"/>
          <w:sz w:val="18"/>
          <w:szCs w:val="18"/>
          <w:color w:val="auto"/>
        </w:rPr>
        <w:t>above, and the information referenced therein, for a description of risks that we face and important factors that we believe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cause actual results to differ materially from those in our Forward-Looking Statements. All amounts and percentages are approximate due to rounding and all dollars in the text are in millions, except per share amounts or where otherwise noted. When we cross-reference to a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we are referring to our </w:t>
      </w:r>
      <w:r>
        <w:rPr>
          <w:rFonts w:ascii="Times New Roman" w:cs="Times New Roman" w:eastAsia="Times New Roman" w:hAnsi="Times New Roman"/>
          <w:sz w:val="18"/>
          <w:szCs w:val="18"/>
          <w:i w:val="1"/>
          <w:iCs w:val="1"/>
          <w:color w:val="auto"/>
        </w:rPr>
        <w:t xml:space="preserve">“Notes to Condensed Consolidated Financial Statements” </w:t>
      </w:r>
      <w:r>
        <w:rPr>
          <w:rFonts w:ascii="Times New Roman" w:cs="Times New Roman" w:eastAsia="Times New Roman" w:hAnsi="Times New Roman"/>
          <w:sz w:val="18"/>
          <w:szCs w:val="18"/>
          <w:color w:val="auto"/>
        </w:rPr>
        <w:t>included in Part I, Item 1, of this Quarterly Report on Form 10-Q, unless the context indicates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All amounts noted within the tables are in thousands and amounts and percentages are approximate due to rounding.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manufacture and market a broad array of products that power, protect and connect electronic circuits. These products are primarily used in the defense, commercial aerospace, networking, telecommunications, computing, general industrial, high-speed data transmission, transportation and eMobility industries. Our portfolio of products also finds application in the automotive, medical and consumer electronics markets.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through three product group segments. In the nine months ended September 30, 2025, 53% of our revenues were derived from Power Solutions and Protection, 34% from our Connectivity Solutions and 13% from our Magnetic Solutions operating segment.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expenses are driven principally by the cost of labor where the factories that we use are located, the cost of the materials that we use and our ability to effectively and efficiently manage overhead costs. As labor and material costs vary by product line and region, any significant shift in product mix can have an associated impact on our costs of sales. Costs are recorded as incurred for all products manufactured. Such amounts are determined based upon the estimated stage of production and include materials, labor cost and fringes and related allocations of factory overhead. Our products are manufactured at various facilities in the United States, Mexico, Dominican Republic, United Kingdom, Slovakia, Israel, India and the PRC.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little visibility into the ordering habits of our customers and we can be subjected to large and unpredictable variations in demand for our products. Accordingly, we must continually recruit and train new workers to replace those lost to attrition and be able to address peaks in demand that may occur from time to time. These recruiting and training efforts and related inefficiencies, and overtime required in order to meet any increase in demand, can add volatility to the labor costs incurred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in addition to recent global tariffs and inflationary pressures on the costs of goods and services in general, and ongoing conflicts/political unrest including in or near the countries in which Bel operates, the key factors affecting and/or potentially affecting our results for the nine months ended September 30, 2025 and/or future results include the following:</w:t>
      </w:r>
    </w:p>
    <w:p>
      <w:pPr>
        <w:spacing w:after="0" w:line="176" w:lineRule="exact"/>
        <w:rPr>
          <w:sz w:val="20"/>
          <w:szCs w:val="20"/>
          <w:color w:val="auto"/>
        </w:rPr>
      </w:pPr>
    </w:p>
    <w:p>
      <w:pPr>
        <w:jc w:val="both"/>
        <w:ind w:left="220" w:hanging="104"/>
        <w:spacing w:after="0" w:line="266"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Enercon</w:t>
      </w:r>
      <w:r>
        <w:rPr>
          <w:rFonts w:ascii="Times New Roman" w:cs="Times New Roman" w:eastAsia="Times New Roman" w:hAnsi="Times New Roman"/>
          <w:sz w:val="18"/>
          <w:szCs w:val="18"/>
          <w:color w:val="auto"/>
        </w:rPr>
        <w:t xml:space="preserve"> - In November 2024, Bel acquired an 80% stake in Enercon. As a result, we will benefit from a full year of Enercon's sales in 2025 within our Power Solutions and Protection segment. Enercon is a global supplier of power supplies primarily into defense markets, and its sales and results of operations may vary depending on government spending on defense.</w:t>
      </w:r>
    </w:p>
    <w:p>
      <w:pPr>
        <w:spacing w:after="0" w:line="175" w:lineRule="exact"/>
        <w:rPr>
          <w:rFonts w:ascii="Times New Roman" w:cs="Times New Roman" w:eastAsia="Times New Roman" w:hAnsi="Times New Roman"/>
          <w:sz w:val="18"/>
          <w:szCs w:val="18"/>
          <w:color w:val="auto"/>
        </w:rPr>
      </w:pPr>
    </w:p>
    <w:p>
      <w:pPr>
        <w:jc w:val="both"/>
        <w:ind w:left="220" w:hanging="104"/>
        <w:spacing w:after="0" w:line="256"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Backlog</w:t>
      </w:r>
      <w:r>
        <w:rPr>
          <w:rFonts w:ascii="Times New Roman" w:cs="Times New Roman" w:eastAsia="Times New Roman" w:hAnsi="Times New Roman"/>
          <w:sz w:val="18"/>
          <w:szCs w:val="18"/>
          <w:color w:val="auto"/>
        </w:rPr>
        <w:t xml:space="preserve"> – Our backlog of orders amounted to $415 million at September 30, 2025, an increase of $33 million, or 9%, from December 31, 2024. From year-end 2024 to September 30, 2025, we experienced a 6% rise in backlog within our Power Solutions and Protection segment, a 15% increase in our Magnetic Solutions segment and a 13% increase within our Connectivity Solutions segment. Factors that could cause the Company to fail to ship all such orders include unanticipated supply difficulties, changes in customer demand and new customer designs. Due to these factors, backlog may not be a reliable indicator of the timing of future sales. The preceding two sentences regarding the Company’s backlog contain Forward-Looking Statements. See </w:t>
      </w:r>
      <w:r>
        <w:rPr>
          <w:rFonts w:ascii="Times New Roman" w:cs="Times New Roman" w:eastAsia="Times New Roman" w:hAnsi="Times New Roman"/>
          <w:sz w:val="18"/>
          <w:szCs w:val="18"/>
          <w:i w:val="1"/>
          <w:iCs w:val="1"/>
          <w:color w:val="auto"/>
        </w:rPr>
        <w:t>"Cautionary Notice Regarding Forward-Looking Information."</w:t>
      </w:r>
    </w:p>
    <w:p>
      <w:pPr>
        <w:spacing w:after="0" w:line="187" w:lineRule="exact"/>
        <w:rPr>
          <w:rFonts w:ascii="Times New Roman" w:cs="Times New Roman" w:eastAsia="Times New Roman" w:hAnsi="Times New Roman"/>
          <w:sz w:val="18"/>
          <w:szCs w:val="18"/>
          <w:color w:val="auto"/>
        </w:rPr>
      </w:pPr>
    </w:p>
    <w:p>
      <w:pPr>
        <w:jc w:val="both"/>
        <w:ind w:left="220" w:hanging="104"/>
        <w:spacing w:after="0" w:line="254"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Mix</w:t>
      </w:r>
      <w:r>
        <w:rPr>
          <w:rFonts w:ascii="Times New Roman" w:cs="Times New Roman" w:eastAsia="Times New Roman" w:hAnsi="Times New Roman"/>
          <w:sz w:val="18"/>
          <w:szCs w:val="18"/>
          <w:color w:val="auto"/>
        </w:rPr>
        <w:t xml:space="preserve"> – Material and labor costs vary by product line, and any significant shift in product mix between higher- and lower-margin product lines will have a corresponding impact on our gross margin percentage. In general, our Power products have historically had the highest contribution margins among our three product groups, due to a favorable product mix offset by higher-cost bill-of-materials. Connectivity products have traditionally high contribution margins given the harsh environment and high-reliability nature of these products and the end markets they serve. Our Magnetic Solutions products are more labor-intensive, and their margins are more heavily impacted by minimum and market-based wage increases in the PRC and by fluctuations in foreign exchange rates between the U.S. dollar and the Chinese renminbi. Fluctuations in revenue volume among our product groups will have a corresponding impact on our profit margins. See </w:t>
      </w:r>
      <w:r>
        <w:rPr>
          <w:rFonts w:ascii="Times New Roman" w:cs="Times New Roman" w:eastAsia="Times New Roman" w:hAnsi="Times New Roman"/>
          <w:sz w:val="18"/>
          <w:szCs w:val="18"/>
          <w:i w:val="1"/>
          <w:iCs w:val="1"/>
          <w:color w:val="auto"/>
        </w:rPr>
        <w:t>"Results of Operations - Summary by Operating Segment - Revenue and Gross Margin"</w:t>
      </w:r>
      <w:r>
        <w:rPr>
          <w:rFonts w:ascii="Times New Roman" w:cs="Times New Roman" w:eastAsia="Times New Roman" w:hAnsi="Times New Roman"/>
          <w:sz w:val="18"/>
          <w:szCs w:val="18"/>
          <w:color w:val="auto"/>
        </w:rPr>
        <w:t xml:space="preserve"> below for further details.</w:t>
      </w:r>
    </w:p>
    <w:p>
      <w:pPr>
        <w:spacing w:after="0" w:line="191" w:lineRule="exact"/>
        <w:rPr>
          <w:rFonts w:ascii="Times New Roman" w:cs="Times New Roman" w:eastAsia="Times New Roman" w:hAnsi="Times New Roman"/>
          <w:sz w:val="18"/>
          <w:szCs w:val="18"/>
          <w:color w:val="auto"/>
        </w:rPr>
      </w:pPr>
    </w:p>
    <w:p>
      <w:pPr>
        <w:jc w:val="both"/>
        <w:ind w:left="220" w:hanging="104"/>
        <w:spacing w:after="0" w:line="254"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Pricing and Availability of Materials</w:t>
      </w:r>
      <w:r>
        <w:rPr>
          <w:rFonts w:ascii="Times New Roman" w:cs="Times New Roman" w:eastAsia="Times New Roman" w:hAnsi="Times New Roman"/>
          <w:sz w:val="18"/>
          <w:szCs w:val="18"/>
          <w:color w:val="auto"/>
        </w:rPr>
        <w:t xml:space="preserve"> – Raw material pricing has somewhat stabilized since 2024, though costs remain elevated. Supply constraints for key components like capacitors, resistors, and integrated circuits ("ICs") have eased, with suppliers meeting delivery deadlines more consistently despite extended lead times. Metal commodity prices, particularly gold and copper, continue to impact cost structures and supplier pricing. Regulatory changes including but not limited to trade restrictions affecting suppliers in the PRC have previously and could in future disrupt our supply chain, leading to limited access to certain parts and suppliers, increased costs, shortages, or other adverse impacts on our business and operating results. Additionally, tariffs imposed by the U.S. or foreign governments on imports and exports could reduce margins or increase prices, potentially decreasing customer demand. See "</w:t>
      </w:r>
      <w:r>
        <w:rPr>
          <w:rFonts w:ascii="Times New Roman" w:cs="Times New Roman" w:eastAsia="Times New Roman" w:hAnsi="Times New Roman"/>
          <w:sz w:val="18"/>
          <w:szCs w:val="18"/>
          <w:i w:val="1"/>
          <w:iCs w:val="1"/>
          <w:color w:val="auto"/>
        </w:rPr>
        <w:t>Global Tariffs</w:t>
      </w:r>
      <w:r>
        <w:rPr>
          <w:rFonts w:ascii="Times New Roman" w:cs="Times New Roman" w:eastAsia="Times New Roman" w:hAnsi="Times New Roman"/>
          <w:sz w:val="18"/>
          <w:szCs w:val="18"/>
          <w:color w:val="auto"/>
        </w:rPr>
        <w:t>" below. The preceding discussion in this paragraph contains Forward-Looking Statements. See "</w:t>
      </w:r>
      <w:r>
        <w:rPr>
          <w:rFonts w:ascii="Times New Roman" w:cs="Times New Roman" w:eastAsia="Times New Roman" w:hAnsi="Times New Roman"/>
          <w:sz w:val="18"/>
          <w:szCs w:val="18"/>
          <w:i w:val="1"/>
          <w:iCs w:val="1"/>
          <w:color w:val="auto"/>
        </w:rPr>
        <w:t>Cautionary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Information.</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38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8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40" w:hanging="111"/>
        <w:spacing w:after="0" w:line="252" w:lineRule="auto"/>
        <w:tabs>
          <w:tab w:leader="none" w:pos="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Global Tariffs</w:t>
      </w:r>
      <w:r>
        <w:rPr>
          <w:rFonts w:ascii="Times New Roman" w:cs="Times New Roman" w:eastAsia="Times New Roman" w:hAnsi="Times New Roman"/>
          <w:sz w:val="18"/>
          <w:szCs w:val="18"/>
          <w:color w:val="auto"/>
        </w:rPr>
        <w:t xml:space="preserve"> – On April 5, 2025, the Trump Administration enacted reciprocal tariffs on U.S. imports from a number of countries in which Bel’s manufacturing sites and/or suppliers are located. We currently estimate, based on information available today and our sales patterns at the present time, that approximately 75% of our global sales are not currently subject to these newly-enacted U.S. tariffs as the goods are either manufactured outside the U.S. and shipped to a customer who is located outside the U.S. or the goods are manufactured within the U.S. for local consumption. Of the approximately 25% of our consolidated global sales that we estimate are currently subject to the new tariffs, the countries of origin are the PRC (approximately 10% of Bel’s global sales), Israel (8%), Slovakia (3%), Dominican Republic (1.5%), and other countries that each represent less than 1% of our U.S. imports. Imports into the U.S. from Mexico are currently exempt from tariffs as our products fall within the scope of the United States-Mexico-Canada Agreement (USMCA) as presently in force and are therefore not included in the aforementioned 25%. While global tariffs did not have a material financial impact on our third quarter 2025 financial results, we continue to closely monitor the evolving tariff landscape and are assessing possible alternatives aimed at potentially mitigating the impact of tariffs on Bel and our customers. The imposition of tariffs on our U.S. imports could result in reduced demand for our products and/or higher material costs. Our future sales and/or gross margins could be impacted as a result. The preceding discussion of “Global Tariffs” contains Forward-Looking Statements, including our estimates regarding our approximation of our global sales subject to the new tariffs, statements about the possible effects and impacts of tariffs, and statements about our present plans and intentions in connection therewith or in response thereto. See "</w:t>
      </w:r>
      <w:r>
        <w:rPr>
          <w:rFonts w:ascii="Times New Roman" w:cs="Times New Roman" w:eastAsia="Times New Roman" w:hAnsi="Times New Roman"/>
          <w:sz w:val="18"/>
          <w:szCs w:val="18"/>
          <w:i w:val="1"/>
          <w:iCs w:val="1"/>
          <w:color w:val="auto"/>
        </w:rPr>
        <w:t>Cautionary Notice Regarding Forward-Looking Information.</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left="240" w:hanging="124"/>
        <w:spacing w:after="0" w:line="255"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Costs</w:t>
      </w:r>
      <w:r>
        <w:rPr>
          <w:rFonts w:ascii="Times New Roman" w:cs="Times New Roman" w:eastAsia="Times New Roman" w:hAnsi="Times New Roman"/>
          <w:sz w:val="18"/>
          <w:szCs w:val="18"/>
          <w:color w:val="auto"/>
        </w:rPr>
        <w:t xml:space="preserve"> – Labor costs represented 7.8% of revenue during the first nine months of 2025, remaining flat when compared to the same period in 2024. Minimum wage increases took effect in 2025 in Slovakia, China, Dominican Republic and Mexico, which are expected to increase our annual labor costs by $1.8 million in the aggregate, though these higher costs due to the minimum wage increases to date have been largely offset by consolidated Bel revenue increase. These increases are expected to have in the future, along with any future upward wage adjustments, an unfavorable impact on profit margins. The foregoing statements regarding labor costs, including without limitation statements about anticipated future wage increase enactments and statements about estimated costs including projected impact of the wage increases, constitute Forward-Looking Statements. See "</w:t>
      </w:r>
      <w:r>
        <w:rPr>
          <w:rFonts w:ascii="Times New Roman" w:cs="Times New Roman" w:eastAsia="Times New Roman" w:hAnsi="Times New Roman"/>
          <w:sz w:val="18"/>
          <w:szCs w:val="18"/>
          <w:i w:val="1"/>
          <w:iCs w:val="1"/>
          <w:color w:val="auto"/>
        </w:rPr>
        <w:t>Cautionary Notice Regarding Forward-Looking Information</w:t>
      </w:r>
      <w:r>
        <w:rPr>
          <w:rFonts w:ascii="Times New Roman" w:cs="Times New Roman" w:eastAsia="Times New Roman" w:hAnsi="Times New Roman"/>
          <w:sz w:val="18"/>
          <w:szCs w:val="18"/>
          <w:color w:val="auto"/>
        </w:rPr>
        <w:t>" for details.</w:t>
      </w:r>
    </w:p>
    <w:p>
      <w:pPr>
        <w:spacing w:after="0" w:line="188" w:lineRule="exact"/>
        <w:rPr>
          <w:rFonts w:ascii="Times New Roman" w:cs="Times New Roman" w:eastAsia="Times New Roman" w:hAnsi="Times New Roman"/>
          <w:sz w:val="18"/>
          <w:szCs w:val="18"/>
          <w:color w:val="auto"/>
        </w:rPr>
      </w:pPr>
    </w:p>
    <w:p>
      <w:pPr>
        <w:jc w:val="both"/>
        <w:ind w:left="220" w:hanging="104"/>
        <w:spacing w:after="0" w:line="261"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Inflationary Pressures</w:t>
      </w:r>
      <w:r>
        <w:rPr>
          <w:rFonts w:ascii="Times New Roman" w:cs="Times New Roman" w:eastAsia="Times New Roman" w:hAnsi="Times New Roman"/>
          <w:sz w:val="18"/>
          <w:szCs w:val="18"/>
          <w:color w:val="auto"/>
        </w:rPr>
        <w:t xml:space="preserve"> - Inflationary pressures could continue to result in higher input costs, including those related to our raw materials, labor, freight, utilities, healthcare and other expenses. Our future operating results will depend, in part, on our continued ability to manage these fluctuations through pricing actions, cost savings initiatives and sourcing decisions. The preceding two sentences contain Forward-Looking Statements. See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 Regarding Forward-Looking Information.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220" w:hanging="104"/>
        <w:spacing w:after="0" w:line="253"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Foreign Currency</w:t>
      </w:r>
      <w:r>
        <w:rPr>
          <w:rFonts w:ascii="Times New Roman" w:cs="Times New Roman" w:eastAsia="Times New Roman" w:hAnsi="Times New Roman"/>
          <w:sz w:val="18"/>
          <w:szCs w:val="18"/>
          <w:color w:val="auto"/>
        </w:rPr>
        <w:t xml:space="preserve"> – During the nine months ended September 30, 2025, labor and overhead costs increased by approximately $0.1 million compared to the same period in 2024, primarily due to unfavorable foreign exchange rates involving the Israeli shekel and the euro. Specifically, the appreciation of the Israeli shekel and euro against the U.S. dollar resulted in higher labor and overhead costs of $1.0 million and $0.3 million, respectively. These increases were partially offset by cost savings from the depreciation of the Mexican peso ($1.0 million) and Chinese renminbi ($0.2 million). We recognized a foreign exchange transactional gain of $11.6 million during this period, mainly due to currency spot rate fluctuations when translating balance sheet accounts as of September 30, 2025, versus December 31, 2024. As a U.S.-domiciled company, our foreign currency-denominated financial results are translated into U.S. dollars, and exchange rate fluctuations can impact our consolidated statements of operations and cash flows. We continuously monitor foreign currency movements and may utilize forward contracts or implement pricing actions to mitigate the impact of currency fluctuations on our operating results. The preceding discussion contains Forward-Looking Statements. See "</w:t>
      </w:r>
      <w:r>
        <w:rPr>
          <w:rFonts w:ascii="Times New Roman" w:cs="Times New Roman" w:eastAsia="Times New Roman" w:hAnsi="Times New Roman"/>
          <w:sz w:val="18"/>
          <w:szCs w:val="18"/>
          <w:i w:val="1"/>
          <w:iCs w:val="1"/>
          <w:color w:val="auto"/>
        </w:rPr>
        <w:t>Cautionary Notice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Information.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220" w:right="20" w:hanging="104"/>
        <w:spacing w:after="0" w:line="266"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Tax Rate</w:t>
      </w:r>
      <w:r>
        <w:rPr>
          <w:rFonts w:ascii="Times New Roman" w:cs="Times New Roman" w:eastAsia="Times New Roman" w:hAnsi="Times New Roman"/>
          <w:sz w:val="18"/>
          <w:szCs w:val="18"/>
          <w:color w:val="auto"/>
        </w:rPr>
        <w:t xml:space="preserve"> – Our effective tax rate will fluctuate based on the geographic regions in which our pretax profits are earned. Of the geographic regions in which we operate, the U.S. and Europe’s tax rates are generally comparable while Asia has the lowest tax rates of our three geographical regions. 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Summary by Operating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and Gross Margin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and gross margin by operating segment for the three and nine months ended September 30, 2025 and 2024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Nine Months Ended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18"/>
                <w:szCs w:val="18"/>
                <w:color w:val="auto"/>
              </w:rPr>
            </w:pPr>
          </w:p>
        </w:tc>
      </w:tr>
      <w:tr>
        <w:trPr>
          <w:trHeight w:val="209"/>
        </w:trPr>
        <w:tc>
          <w:tcPr>
            <w:tcW w:w="2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Power solutions and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protection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94,406</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48,680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264,259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167,478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Connectivity solutions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55,715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171,802</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167,822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Magnetic solutions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19,243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63,456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49,633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2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123,638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499,517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384,933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 and Protection: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Power Solutions and Protection products increased by $45.7 million (93.9%) during the three months ended September 30, 2025, compared to the same period in 2024. For the nine months ended September 30, 2025, sales rose by $96.8 million (57.8%) over the first nine months of 2024. This growth was primarily driven by aerospace and defense applications, contributing $34.4 million in Q3 2025 and $99.5 million in the first nine months of 2025. These sectors represent a new end market within Bel’s Power segment, introduced through the acquisition of Enercon in November 2024. Additional contributors to revenue growth included:</w:t>
      </w:r>
    </w:p>
    <w:p>
      <w:pPr>
        <w:spacing w:after="0" w:line="183" w:lineRule="exact"/>
        <w:rPr>
          <w:sz w:val="20"/>
          <w:szCs w:val="20"/>
          <w:color w:val="auto"/>
        </w:rPr>
      </w:pPr>
    </w:p>
    <w:p>
      <w:pPr>
        <w:ind w:left="1100" w:hanging="485"/>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Networking applications: Up $11.4 million in Q3 2025 and $13.7 million year-to-date 9/30/2025.</w:t>
      </w:r>
    </w:p>
    <w:p>
      <w:pPr>
        <w:spacing w:after="0" w:line="27" w:lineRule="exact"/>
        <w:rPr>
          <w:rFonts w:ascii="Times New Roman" w:cs="Times New Roman" w:eastAsia="Times New Roman" w:hAnsi="Times New Roman"/>
          <w:sz w:val="18"/>
          <w:szCs w:val="18"/>
          <w:color w:val="auto"/>
        </w:rPr>
      </w:pPr>
    </w:p>
    <w:p>
      <w:pPr>
        <w:ind w:left="1080" w:hanging="465"/>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Fuse products: Up $1.8 million in Q3 2025 and $4.2 million year-to-date 9/30/2025.</w:t>
      </w:r>
    </w:p>
    <w:p>
      <w:pPr>
        <w:spacing w:after="0" w:line="9" w:lineRule="exact"/>
        <w:rPr>
          <w:rFonts w:ascii="Times New Roman" w:cs="Times New Roman" w:eastAsia="Times New Roman" w:hAnsi="Times New Roman"/>
          <w:sz w:val="18"/>
          <w:szCs w:val="18"/>
          <w:color w:val="auto"/>
        </w:rPr>
      </w:pPr>
    </w:p>
    <w:p>
      <w:pPr>
        <w:ind w:left="1080" w:hanging="465"/>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applications: Increased by $2.3 million in Q3, but declined by $2.0 million year-to-date 9/30/2025.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gains were partially offset by declines in several categories:</w:t>
      </w:r>
    </w:p>
    <w:p>
      <w:pPr>
        <w:spacing w:after="0" w:line="225" w:lineRule="exact"/>
        <w:rPr>
          <w:sz w:val="20"/>
          <w:szCs w:val="20"/>
          <w:color w:val="auto"/>
        </w:rPr>
      </w:pPr>
    </w:p>
    <w:p>
      <w:pPr>
        <w:ind w:left="1080" w:hanging="465"/>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Railway applications: Down $1.0 million in Q3 and $5.7 million year-to-date 9/30/2025.</w:t>
      </w:r>
    </w:p>
    <w:p>
      <w:pPr>
        <w:spacing w:after="0" w:line="27" w:lineRule="exact"/>
        <w:rPr>
          <w:rFonts w:ascii="Times New Roman" w:cs="Times New Roman" w:eastAsia="Times New Roman" w:hAnsi="Times New Roman"/>
          <w:sz w:val="18"/>
          <w:szCs w:val="18"/>
          <w:color w:val="auto"/>
        </w:rPr>
      </w:pPr>
    </w:p>
    <w:p>
      <w:pPr>
        <w:ind w:left="1080" w:hanging="465"/>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eMobility applications: Down $1.2 million in Q3 and $5.2 million year-to-date 9/30/2025.</w:t>
      </w:r>
    </w:p>
    <w:p>
      <w:pPr>
        <w:spacing w:after="0" w:line="9" w:lineRule="exact"/>
        <w:rPr>
          <w:rFonts w:ascii="Times New Roman" w:cs="Times New Roman" w:eastAsia="Times New Roman" w:hAnsi="Times New Roman"/>
          <w:sz w:val="18"/>
          <w:szCs w:val="18"/>
          <w:color w:val="auto"/>
        </w:rPr>
      </w:pPr>
    </w:p>
    <w:p>
      <w:pPr>
        <w:ind w:left="1080" w:hanging="465"/>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Industrial applications: Down $2.4 million in Q3 and $7.7 million year-to-date 9/30/2025.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improvement in gross margin for the Power segment in Q3 2025 compared to Q3 2024 was primarily due to increased sales and favorable product mix due to acquisition of Enercon. In the first nine months of 2024, gross margin was higher due to non-recurring items, which were recorded at a 100% gross margin.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Connectivity Solutions: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Connectivity Solutions products increased by $6.2 million (11.0%) in the third quarter of 2025 compared to the third quarter of 2024, primarily driven by higher volumes in commercial aerospace applications, which grew by $6.3 million (50.5%), and defense applications, which increased by $3.6 million (31.2%). These gains were partially offset by a $1.9 million (9.7%) decline in distribution sales during the same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total Connectivity Solutions sales rose by $4.0 million (2.4%) compared to the prior year period, with commercial aerospace up $9.7 million (22.9%) and defense applications up $6.5 million (18.9%). These increases were partially offset by declines in distribution channel sales of $5.4 million (9.4%), with the remaining decrease attributable to industrial applications.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margins for the 2025 periods benefited from an improved product mix, favorable exchange rate fluctuations between the U.S. dollar and Mexican peso, and operational efficiencies resulting from facility consolidations completed in 2024, partially offset by higher wage rates in Mexico.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Magnetic Solutions: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Magnetic Solutions products increased by $3.5 million (18.0%) in the third quarter of 2025 and $13.8 million (27.9%) during the nine months ended September 30, 2025, compared to the same periods in 2024. This growth was primarily driven by higher demand from networking customers. Gross margin improvements for this product group during the first nine months of 2025 were supported by higher sales, recent facility consolidations in the PRC, effective cost management, and favorable exchange rates between the Chinese renminbi and the U.S. dollar.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as a percentage of revenue for the three and nine months ended September 30, 2025 and 2024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1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costs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29.2%</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 costs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7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25.0%</w:t>
            </w:r>
          </w:p>
        </w:tc>
      </w:tr>
      <w:tr>
        <w:trPr>
          <w:trHeight w:val="20"/>
        </w:trPr>
        <w:tc>
          <w:tcPr>
            <w:tcW w:w="58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7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62.0%</w:t>
            </w:r>
          </w:p>
        </w:tc>
      </w:tr>
      <w:tr>
        <w:trPr>
          <w:trHeight w:val="20"/>
        </w:trPr>
        <w:tc>
          <w:tcPr>
            <w:tcW w:w="5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costs as a percentage of sales increased during both the three and nine months ended September 30, 2025, compared to the same periods in 2024, primarily due to a shift in production mix driven by higher sales of Power products, which typically have greater material content. Labor costs as a percentage of sales declined in Q3 2025 and were flat for the first nine months of 2025, relative to the comparable 2024 periods, reflecting increased sales and favorable exchange rate fluctuations in the Chinese renminbi and Mexican peso versus the U.S. dollar, partially offset by higher minimum wage rates and unfavorable exchange rate fluctuations in the Israeli shekel.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expenses, including fixed costs such as support labor and benefits, depreciation and amortization, and facility costs (rent, utilities, insurance), remained relatively stable aside from the inclusion of Enercon's overhead expenses in the 2025 periods. However, as a percentage of sales, these expenses decreased during the three and nine months ended September 30, 2025, compared to the same periods in 2024, benefiting from higher sales volumes in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("R&amp;D") Expense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R&amp;D expenses totaled $7.5 million in the third quarter of 2025, up from $5.4 million in the third quarter of 2024, and totaled $22.9 million for the nine months ended September 30, 2025, compared to $16.7 million for the same period in 2024. These increases were primarily driven by the inclusion of Enercon’s R&amp;D costs, which contributed $2.0 million in the third quarter of 2025 and $5.4 million for the nine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 (“SG&amp;A”)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expenses totaled $32.8 million in the third quarter of 2025, an increase of $6.1 million compared to $26.7 million in the third quarter of 2024. For the nine months ended September 30, 2025, SG&amp;A expenses rose to $93.2 million, up from $75.8 million in the same period of 2024. The increase was primarily driven by Enercon's SG&amp;A expenses, which contributed $6.6 million in the third quarter of 2025 and $18.5 million for the nine months ended September 30, 2025. This was partially offset by a $1.0 million reduction in expenses of the legacy Bel business, stemming from lower legal fees during the nine months ended September 30, 2025, compared to the same period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expenses were $3.6 million for the three months ended September 30, 2025 (up from $0.4 million for the same period in 2024) and $11.8 million for the nine months ended September 30, 2025 (up from $1.3 million in the same period of 2024), reflecting increases of $3.2 million and $10.5 million for the three- and nine-month periods, respectively. These increases were primarily driven by higher outstanding borrowings under the Company's Credit Agreement, including those incurred to finance the Enercon acquisition and related costs (refer to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for additional details). For further information on the Company's outstanding debt,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income for the three months ended September 30, 2025 was $0.2 million, down from $1.5 million for the same period in 2024. For the nine months ended September 30, 2025, interest income was $0.8 million, down from $3.7 million in the comparable period of 2024. These declines were primarily attributable to reduced investments in U.S. Treasury Bills during the 2025 periods compared to those in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(expense), net was $1.1 million for the three months ended September 30, 2025, compared to ($1.3) million for the same period in 2024. This year-over-year change was primarily driven by foreign exchange transactional losses of $0.3 million during the three months ended September 30, 2025 compared to a loss of $1.6 million for the same period in 2024, due to fluctuations in spot rates of certain currencies when translating balance sheet accounts as of September 30 of each year. SERP investments resulted in a gain of $0.7 million in the third quarter of 2025 versus a gain of $0.5 million in the third quarter of 2024. Additionally, the Company recorded losses of $0.3 million and $0.2 million associated with its investment in innolectric during the third quarters of 2025 and 2024, respectively.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other income (expense), net totaled $11.3 million, compared to less than $0.1 million for the same period in 2024. This change was largely driven by foreign exchange transactional gains of $11.6 million during the nine months ended September 30, 2025, resulting from currency spot rate fluctuations when translating balance sheet accounts as of September 30, 2025, compared to December 31, 2024. This compares to foreign exchange transactional losses of $1.3 million recorded during the nine months ended September 30, 2024. SERP investment market fluctuations resulted in a gain of $1.1 million during the nine months ended September 30, 2025 period versus a gain of $1.3 million during the same period in 2024. Losses from the Company’s investment in innolectric totaled $0.4 million for the nine months ended September 30, 2025, compared to $0.3 million for the same period in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will fluctuate based on the geographic regions in which the pretax profits are earned. Among the jurisdictions where the Company operates, the U.S. and Europe’s tax rates are generally comparable, while Asia has the lowest tax rates. 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the provision for income taxes was $5.4 million, compared to $3.1 million for the same period in 2024. Earnings before income taxes for the three months ended September 30, 2025, increased by $16.8 million compared to the same period in 2024, primarily due to higher income worldwide. The Company’s effective tax rate for the three months ended September 30, 2025, was 19.5%, compared to 27.8% for the same period in 2024. The decrease in the effective tax rate was primarily driven by a decrease in tax expense relating to prior period accruals, offset by an increase in taxes related to income from foreign subsidiaries taxed in the U.S. as part of the Tax Cuts and Jobs Act. 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the provision for income taxes was $17.8 million, compared to $11.7 million for the same period in 2024. Earnings before income taxes for the nine months ended September 30, 2025, increased by $31.1 million compared to the same period in 2024, primarily due to higher income worldwide. The Company’s effective tax rate for the nine months ended September 30, 2025, was 20.8% compared to 21.4% for the same period in 2024. The decrease in the effective tax rate was attributable to the same factors noted above, as well as a decrease in tax expense relating to valuation allowances. 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sources of liquidity include $57.7 million of cash and cash equivalents at September 30, 2025, cash provided by operating activities and borrowings available under our credit facility. We expect to use this liquidity for operating expenses, investments in working capital, capital expenditures, interest, taxes, lease and purchase obligations, pension benefit obligations, dividends, purchases of common stock under our Repurchase Program, and debt obligations and other long-term liabilities. Our liquidity may also be utilized to fund potential acquisitions in future periods, as well as potential future cash requirements related to the Enercon acquisition, including potential Earnout Payments that may become due and the put-call options under the Enercon shareholders’ agreement, pursuant to which Bel has the current intention to purchase the remaining 20% interest by early 2027. See the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 discussion appearing in Item 7,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the fiscal year ended December 31, 2024. We believe that our current liquidity position and future cash flows from operations will enable us to fund our operations, both in the next twelve months and in the longer term.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Summary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our cash and cash equivalents decreased by $10.5 million. This decrease was primarily due to the following:</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repayments of long-term debt of $62.5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$2.5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property, plant and equipment of $8.6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costs of $0.7 million; partially offset by</w:t>
      </w:r>
    </w:p>
    <w:p>
      <w:pPr>
        <w:spacing w:after="0" w:line="9" w:lineRule="exact"/>
        <w:rPr>
          <w:rFonts w:ascii="Times New Roman" w:cs="Times New Roman" w:eastAsia="Times New Roman" w:hAnsi="Times New Roman"/>
          <w:sz w:val="18"/>
          <w:szCs w:val="18"/>
          <w:color w:val="auto"/>
        </w:rPr>
      </w:pPr>
    </w:p>
    <w:p>
      <w:pPr>
        <w:ind w:left="820" w:hanging="326"/>
        <w:spacing w:after="0" w:line="236"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$51 million;</w:t>
      </w:r>
    </w:p>
    <w:p>
      <w:pPr>
        <w:ind w:left="820" w:hanging="326"/>
        <w:spacing w:after="0" w:line="203"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 of property of $7.8 million; and</w:t>
      </w:r>
    </w:p>
    <w:p>
      <w:pPr>
        <w:ind w:left="820" w:hanging="326"/>
        <w:spacing w:after="0"/>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held to maturity securities of $1.0 million.</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our accounts receivable increased by $13.1 million due to higher sales volume in the third quarter of 2025 as compared to the fourth quarter of 2024. Days sales outstanding (DSO) was 65 days at September 30, 2025 and 68 days at December 31, 2024. Inventory increased by $1.7 million at September 30, 2025 compared to December 31, 2024, primarily driven by an increase in raw materials and work in progress, partially offset by a decline in finished goods. Inventory turns were 2.4 at September 30, 2025 as compared to 2.1 at December 31,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and cash equivalents, held to maturity U.S. Treasury securities and accounts receivable comprised approximately 19.3% and 19.0% of our total assets at September 30, 2025 and at December 31, 2024, respectively. Our current ratio (i.e., the ratio of current assets to current liabilities) was 3.1 to 1 at September 30, 2025 and 2.9 to 1 at December 31, 2024. At September 30, 2025 and December 31, 2024, $46.5 million and $48.4 million, respectively (or 81% and 71%, respectively), of our cash and cash equivalents was held by our foreign subsidiaries. We repatriated $24.5 million of funds from outside of the U.S. during the nine months ended September 30, 2025. We continue to analyze our global working capital and cash requirements and the potential tax liabilities attributable to further repatriation, and we have yet to make any further determination regarding repatriation of funds from outside the U.S. to fund our U.S. operations in the future. In the event these funds were needed for our U.S. operations, we would be required to accrue and pay U.S. state taxes and any applicable foreign withholding taxes to repatriate these funds.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Cash Requirements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in the ordinary course to be met through existing cash and cash equivalents and anticipated cash flows from operations, as well as borrowings available under our revolving credit facility, if needed. Our material cash requirements arising in the normal course of business are outlined in Item 7A,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in our Annual Report on Form 10-K for the fiscal year ended December 31, 2024. There were no material changes to our future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during the nine months ended September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had $175 million of available borrowings under its revolving credit facility at September 30, 2025, as further described below and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There are no mandatory principal payments due on the credit facility borrowings during 2025. The current balance of $225 million is due upon expiration of the credit facility on September 1, 2028. Anticipated interest payments due amount to $36.6 million, of which $3.2 million is expected to be paid in 2025 based on our debt balance and interest rate in place at September 30, 2025. At September 30, 2025, we were in compliance with our debt covenants, including the most restrictive covenant, the Fixed Charge Coverage Ratio. The unused credit available under the credit facility at September 30, 2025 was $175 million, all of which we had the ability to borrow without violating our Leverage Ratio covenant based on our existing consolidated EBITDA.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include certain amounts that are based on management's best estimates and judgments. We base our estimates on historical experience and on various other assumptions, including in some cases future projections, that are believed to be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or conditions. Different assumptions and judgments could change the estimates used in the preparation of the condensed consolidated financial statements, which, in turn, could change the results from those reported. Management evaluates its estimates, assumptions and judgments on an ongoing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above, we have determined that our most critical accounting estimates are those related to business combinations, inventory valuation, goodwill and other indefinite-lived intangible assets, and those related to our pension benefit obligations. For a detailed discussion of our critical accounting estimates, refer to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Item 7 of our Annual Report on Form 10-K for the fiscal year ended December 31, 2024. There have been no material changes in our critical accounting policies, judgments and estimates, including assumptions or estimation techniques utilized, as compared to those disclosed in our 2024 Annual Report on Form 10-K.</w:t>
      </w:r>
    </w:p>
    <w:p>
      <w:pPr>
        <w:sectPr>
          <w:pgSz w:w="11900" w:h="16838" w:orient="portrait"/>
          <w:cols w:equalWidth="0" w:num="1">
            <w:col w:w="11240"/>
          </w:cols>
          <w:pgMar w:left="320" w:top="10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discussion of new financial accounting standards applicable to our Company is incorporated herein by reference to Note 1,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Quantitative and Qualitative Disclosures About Market Risk</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exposed to market risk primarily from changes in foreign currency exchange rates, changes in interest rates associated with its long-term debt and fluctuations in commodity prices. Under the Company’s risk management strategy, the Company periodically uses foreign currency forward contracts to manage its short-term exposures to fluctuations in operational cash flows resulting from changes in foreign currency exchange rates. To partially mitigate risks associated with the variable interest rates on revolver borrowings under the Company's credit agreement (see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herein,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consolidated financial statements in the Company’s Annual Report on Form 10-K for the fiscal year ended December 31, 2024), the Company maintains two pay-fixed, receive-variable interest rate swap agreements with two multinational financial institutions (see Note 10,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to the condensed consolidated financial statements herein, and Note 13,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to the consolidated financial statements in the Company’s Annual Report on Form 10-K for the fiscal year ended December 31, 2024). The Company’s primary objective for holding derivative financial instruments is to manage foreign currency exchange rate risk and interest rate risk, when deemed appropriate. The Company enters into these contracts in the normal course of business to mitigate risks and not for speculative purposes. The Company utilizes various metals in the production of its products, including copper, zinc, tin, gold, and silver. Fluctuations in the prices of these and other commodities can lead to significantly higher production costs. The Company believes it has adequate primary and secondary sources for each of its key materials. While facing potential volatility in metal prices and anticipating increased material costs, the Company actively monitors these risks. To mitigate any possible negative impacts from these changes, it has implemented and may continue to implement various strategies, including price adjustments and productivity improvements. There have not been any material changes with regard to market risk during the nine months ended September 30, 2025. Refer to Part I,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herein, and Part II, Item 7,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and Part II, Item 7A,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year ended December 31, 2024 for further discussion of market risks.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u w:val="single" w:color="auto"/>
          <w:color w:val="auto"/>
        </w:rPr>
        <w:t>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As of the end of the period covered by this report, the Company carried out an evaluation, with the participation of the Company’s management, including the Company’s Chief Executive Officer and Chief Financial Officer, of the effectiveness of the Company’s disclosure controls and procedures pursuant to Securities Exchange Act Rule 13a-15. Based on that evaluation, the Company’s Chief Executive Officer and Chief Financial Officer concluded that the Company’s disclosure controls and procedures were effective as of the end of the period covered by this report.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controls over financial reporting</w:t>
      </w:r>
      <w:r>
        <w:rPr>
          <w:rFonts w:ascii="Times New Roman" w:cs="Times New Roman" w:eastAsia="Times New Roman" w:hAnsi="Times New Roman"/>
          <w:sz w:val="18"/>
          <w:szCs w:val="18"/>
          <w:color w:val="auto"/>
        </w:rPr>
        <w:t>: There has not been any change in the Company’s internal control over financial reporting that occurred during the Company’s last fiscal quarter to which this report relates that has materially affected, or is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u w:val="single" w:color="auto"/>
          <w:color w:val="auto"/>
        </w:rPr>
        <w:t>Legal Proceedings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Company’s Condensed Consolidated Financial Statements, under “Legal Proceedings”, as set forth in Part I, Item 1 of this Quarterly Report on Form 10-Q. We are also involved in various other legal actions incidental to our business. We believe, after consulting with counsel, that the disposition of these other legal proceedings and matters will not have a material effect on our condensed consolidated financial condition or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u w:val="single" w:color="auto"/>
          <w:color w:val="auto"/>
        </w:rPr>
        <w:t>Risk Factors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risk factors described below, supplement the risk factors previously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for the fiscal year ended December 31, 2024. The risk factors set forth below, together with the risk factors previously disclosed in our Annual Report on Form 10-K for the fiscal year ended December 31, 2024, should be carefully considered before making an investment decision. These are the risk factors that we consider to be the most significant risk factors, but they are not the only risk factors that should be considered in making an investment decision. There have been no material changes to the risk factors disclosed in our Annual Report on Form 10-K for the fiscal year ended December 31, 2024, except as supplemented by the risk factors described below. This Quarterly Report on Form 10-Q also contains Forward-Looking Statements that involve risks and uncertainties. See the "</w:t>
      </w:r>
      <w:r>
        <w:rPr>
          <w:rFonts w:ascii="Times New Roman" w:cs="Times New Roman" w:eastAsia="Times New Roman" w:hAnsi="Times New Roman"/>
          <w:sz w:val="18"/>
          <w:szCs w:val="18"/>
          <w:i w:val="1"/>
          <w:iCs w:val="1"/>
          <w:color w:val="auto"/>
        </w:rPr>
        <w:t>Cautionary Notice Regarding Forward-Looking Information,</w:t>
      </w:r>
      <w:r>
        <w:rPr>
          <w:rFonts w:ascii="Times New Roman" w:cs="Times New Roman" w:eastAsia="Times New Roman" w:hAnsi="Times New Roman"/>
          <w:sz w:val="18"/>
          <w:szCs w:val="18"/>
          <w:color w:val="auto"/>
        </w:rPr>
        <w:t>" above. Our business, consolidated financial condition and consolidated results of operations could be materially adversely affected by any of the risk factors, assumptions and uncertainties described, under "Cautionary Notice Regarding Forward-Looking Information" or with respect to specific Forward-Looking Statements presented herein. The trading price of our securities could decline due to any of these risks, and investors in our securities may lose all or part of their investment. Additional risks and uncertainties not presently known to us or that we currently believe to be immaterial may also materially adversely affect our business in the future. Except as required by the federal securities law, we undertake no obligation to update or revise any risk factor, whether as a result of new information, future events or otherwise.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tariff policies and international trade relations could materially and adversely affect our global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global tariff environment remains highly volatile, particularly with respect to tariffs imposed on goods imported into the U.S. Ongoing trade tensions and retaliatory tariffs have created uncertainty related to the cost of materials, components and finished goods critical to our operations. Increased tariffs on imports could significantly raise our cost of goods sold, disrupt supply chains, delay product availability and negatively impact customer demand due to higher prices.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time of this filing, the U.S. government has imposed tariffs on imports from foreign countries ranging from 10% to 55%, with the high end of the tariff range being applicable to imports from the PRC. We currently estimate, based on information available today and our sales patterns at the present time, that approximately 75% of our global sales are not currently subject to these newly-enacted U.S. tariffs as the goods are either manufactured outside the U.S. and shipped to a customer who is located outside the U.S. or the goods are manufactured within the U.S. for local consumption. Of the approximately 25% of our consolidated global sales that we estimate are currently subject to the new tariffs, the countries of origin are the PRC (approximately 10% of Bel’s global sales), Israel (8%), Slovakia (3%), Dominican Republic (1.5%), and other countries that each represent less than 1% of our U.S. imports.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current environment is prolonged or if tariff rates increase in the future, customers may pause or reduce shipments from the PRC or other countries due to concerns over the tariffs, which could lead to disruptions in our supply chain, decreased customer demand, or delays in the delivery of our products. This may result in a reduction in revenue and potential difficulty in maintaining market share in the impacted segments. Furthermore, prolonged tariff-related uncertainty could impact our customers’ buying behavior, as they may seek alternative suppliers or adjust their purchasing patterns. There is no certainty and there can be no assurances that trade relations between the U.S. and foreign countries will improve, that the current tariff policy will change in a manner more favorable to us, that additional clarity on the tariff situation will be obtained, or that the present uncertainty in the markets surrounding tariffs will be resolved, in each case on any particular timeframe or at all, and the continuation of these tariffs, as well as any new or increased tariffs, together with continuing uncertainty in tariff policies and international trade relations, may materially and adversely affect our financial results, operations and ability to meet customer demand.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efforts to mitigate the impact of tariffs, such as negotiating with suppliers, adjusting pricing or sourcing components and products from alternate markets may not be successful or may require significant time and resources. As a result, the prolonged continuation of the current global tariff environment could materially and adversely affect our business, financial condition and operating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u w:val="single" w:color="auto"/>
          <w:color w:val="auto"/>
        </w:rPr>
        <w:t>Unregistered Sales of Equity Securities and Use of Proceeds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21, 2024, the Company’s Board of Directors authorized and the Company publicly announced a $25.0 million share repurchase program (the “Repurchase Program”). The Repurchase Program authorizes the repurchase of up to $25.0 million of shares of outstanding Class A Common Stock and Class B Common Stock. The aggregate $25.0 million authorized for repurchases under the Repurchase Program has been suballocated for purchases of Class A shares and Class B shares in portions of $4.0 million and $21.0 million, respectively, prorated to take into account the number of outstanding shares of each respective class at the time of such authorization. Shares of Common Stock may be repurchased pursuant to the Repurchase Program in open market, privately negotiated or block transactions or otherwise from time to time, depending upon market conditions and other factors, and in accordance with applicable law and regulations. The Repurchase Program has no expiration date. The Repurchase Program does not obligate the Company to repurchase any dollar amount or number of shares, and the Repurchase Program may be suspended or terminated at any time. As of September 30, 2025 the program-to-date repurchases amounted to 26,326 Class A shares at an aggregate purchase price of $1.9 million and 235,821 Class B shares at an aggregate purchase price of $14.1 million. There were no repurchases of our equity securities during the three or nine months ended September 30, 2025 under the Repurchase Program or otherwise. Under the existing authorization for the Repurchase Program described above, of the aggregate amount initially authorized for repurchases, approximately $2.1 million of Class A shares and $6.9 million of Class B shares remain that may yet be purchased under this program as of September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Defaults Upon Senior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u w:val="single" w:color="auto"/>
          <w:color w:val="auto"/>
        </w:rPr>
        <w:t>Mine Safety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u w:val="single" w:color="auto"/>
          <w:color w:val="auto"/>
        </w:rPr>
        <w:t>Other Information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Rule 10b5-1 Trading Arrangements and Non-Rule 10b5-1 Trading Arrangements</w:t>
      </w:r>
    </w:p>
    <w:p>
      <w:pPr>
        <w:spacing w:after="0" w:line="16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officers or directors, as those terms are defined in Rule 16a-1(f), adopted or terminated a “Rule 10b5-1 trading arrangement” or a “non-Rule 10b5-1 trading arrangement,” as those terms are defined in Item 408 of Regulation S-K.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96"/>
        </w:trPr>
        <w:tc>
          <w:tcPr>
            <w:tcW w:w="600" w:type="dxa"/>
            <w:vAlign w:val="bottom"/>
            <w:tcBorders>
              <w:top w:val="single" w:sz="8" w:color="0000EE"/>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EE"/>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Exhibits</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5"/>
        </w:trPr>
        <w:tc>
          <w:tcPr>
            <w:tcW w:w="2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Exhibits:</w:t>
            </w:r>
          </w:p>
        </w:tc>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2"/>
        </w:trPr>
        <w:tc>
          <w:tcPr>
            <w:tcW w:w="60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r>
      <w:tr>
        <w:trPr>
          <w:trHeight w:val="412"/>
        </w:trPr>
        <w:tc>
          <w:tcPr>
            <w:tcW w:w="60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31.2*</w:t>
            </w:r>
          </w:p>
        </w:tc>
        <w:tc>
          <w:tcPr>
            <w:tcW w:w="74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906 of the Sarbanes-Oxley Act of 2002.</w:t>
            </w:r>
          </w:p>
        </w:tc>
      </w:tr>
      <w:tr>
        <w:trPr>
          <w:trHeight w:val="412"/>
        </w:trPr>
        <w:tc>
          <w:tcPr>
            <w:tcW w:w="600" w:type="dxa"/>
            <w:vAlign w:val="bottom"/>
          </w:tcPr>
          <w:p>
            <w:pPr>
              <w:spacing w:after="0"/>
              <w:rPr>
                <w:sz w:val="24"/>
                <w:szCs w:val="24"/>
                <w:color w:val="auto"/>
              </w:rPr>
            </w:pP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32.2**</w:t>
            </w:r>
          </w:p>
        </w:tc>
        <w:tc>
          <w:tcPr>
            <w:tcW w:w="74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r>
      <w:tr>
        <w:trPr>
          <w:trHeight w:val="434"/>
        </w:trPr>
        <w:tc>
          <w:tcPr>
            <w:tcW w:w="60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101.INS*</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w:t>
            </w:r>
          </w:p>
        </w:tc>
      </w:tr>
      <w:tr>
        <w:trPr>
          <w:trHeight w:val="234"/>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432"/>
        </w:trPr>
        <w:tc>
          <w:tcPr>
            <w:tcW w:w="60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7"/>
              </w:rPr>
              <w:t>101.SCH*</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60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101.CAL*</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60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101.DEF*</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60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101.LAB*</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60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101.PRE*</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600" w:type="dxa"/>
            <w:vAlign w:val="bottom"/>
          </w:tcPr>
          <w:p>
            <w:pPr>
              <w:spacing w:after="0"/>
              <w:rPr>
                <w:sz w:val="24"/>
                <w:szCs w:val="24"/>
                <w:color w:val="auto"/>
              </w:rPr>
            </w:pPr>
          </w:p>
        </w:tc>
        <w:tc>
          <w:tcPr>
            <w:tcW w:w="16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104*</w:t>
            </w: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r>
      <w:tr>
        <w:trPr>
          <w:trHeight w:val="414"/>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2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 Submitted herewith.</w:t>
            </w:r>
          </w:p>
        </w:tc>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48"/>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BEL FUSE INC.</w:t>
            </w:r>
          </w:p>
        </w:tc>
      </w:tr>
      <w:tr>
        <w:trPr>
          <w:trHeight w:val="234"/>
        </w:trPr>
        <w:tc>
          <w:tcPr>
            <w:tcW w:w="3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77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By:/s/ Farouq Tuweiq</w:t>
            </w:r>
          </w:p>
        </w:tc>
      </w:tr>
      <w:tr>
        <w:trPr>
          <w:trHeight w:val="191"/>
        </w:trPr>
        <w:tc>
          <w:tcPr>
            <w:tcW w:w="3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Farouq Tuweiq</w:t>
            </w:r>
          </w:p>
        </w:tc>
      </w:tr>
      <w:tr>
        <w:trPr>
          <w:trHeight w:val="214"/>
        </w:trPr>
        <w:tc>
          <w:tcPr>
            <w:tcW w:w="3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77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By:/s/ Lynn Hutkin</w:t>
            </w:r>
          </w:p>
        </w:tc>
      </w:tr>
      <w:tr>
        <w:trPr>
          <w:trHeight w:val="191"/>
        </w:trPr>
        <w:tc>
          <w:tcPr>
            <w:tcW w:w="3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Lynn Hutkin</w:t>
            </w:r>
          </w:p>
        </w:tc>
      </w:tr>
      <w:tr>
        <w:trPr>
          <w:trHeight w:val="214"/>
        </w:trPr>
        <w:tc>
          <w:tcPr>
            <w:tcW w:w="3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r>
      <w:tr>
        <w:trPr>
          <w:trHeight w:val="432"/>
        </w:trPr>
        <w:tc>
          <w:tcPr>
            <w:tcW w:w="3460" w:type="dxa"/>
            <w:vAlign w:val="bottom"/>
          </w:tcPr>
          <w:p>
            <w:pPr>
              <w:spacing w:after="0"/>
              <w:rPr>
                <w:sz w:val="24"/>
                <w:szCs w:val="24"/>
                <w:color w:val="auto"/>
              </w:rPr>
            </w:pPr>
          </w:p>
        </w:tc>
        <w:tc>
          <w:tcPr>
            <w:tcW w:w="778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Farouq Tuweiq,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 Fuse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255"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Farouq Tuweiq</w:t>
            </w:r>
          </w:p>
        </w:tc>
      </w:tr>
      <w:tr>
        <w:trPr>
          <w:trHeight w:val="191"/>
        </w:trPr>
        <w:tc>
          <w:tcPr>
            <w:tcW w:w="5420" w:type="dxa"/>
            <w:vAlign w:val="bottom"/>
          </w:tcPr>
          <w:p>
            <w:pPr>
              <w:spacing w:after="0"/>
              <w:rPr>
                <w:sz w:val="16"/>
                <w:szCs w:val="16"/>
                <w:color w:val="auto"/>
              </w:rPr>
            </w:pPr>
          </w:p>
        </w:tc>
        <w:tc>
          <w:tcPr>
            <w:tcW w:w="5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Farouq Tuweiq</w:t>
            </w:r>
          </w:p>
        </w:tc>
      </w:tr>
      <w:tr>
        <w:trPr>
          <w:trHeight w:val="216"/>
        </w:trPr>
        <w:tc>
          <w:tcPr>
            <w:tcW w:w="54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4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 Hutkin,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 Fuse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255"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0"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Hutkin</w:t>
            </w:r>
          </w:p>
        </w:tc>
      </w:tr>
      <w:tr>
        <w:trPr>
          <w:trHeight w:val="191"/>
        </w:trPr>
        <w:tc>
          <w:tcPr>
            <w:tcW w:w="5420" w:type="dxa"/>
            <w:vAlign w:val="bottom"/>
          </w:tcPr>
          <w:p>
            <w:pPr>
              <w:spacing w:after="0"/>
              <w:rPr>
                <w:sz w:val="16"/>
                <w:szCs w:val="16"/>
                <w:color w:val="auto"/>
              </w:rPr>
            </w:pPr>
          </w:p>
        </w:tc>
        <w:tc>
          <w:tcPr>
            <w:tcW w:w="5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Lynn Hutkin</w:t>
            </w:r>
          </w:p>
        </w:tc>
      </w:tr>
      <w:tr>
        <w:trPr>
          <w:trHeight w:val="214"/>
        </w:trPr>
        <w:tc>
          <w:tcPr>
            <w:tcW w:w="54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6"/>
        </w:trPr>
        <w:tc>
          <w:tcPr>
            <w:tcW w:w="54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Bel Fuse Inc. (the “Company”) on Form 10-Q for the quarter ended September 30, 2025 filed with the Securities and Exchange Commission (the “Report”), I, Farouq Tuweiq,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consolidated results of operations of the Company for the periods presented.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Farouq Tuweiq</w:t>
            </w:r>
          </w:p>
        </w:tc>
      </w:tr>
      <w:tr>
        <w:trPr>
          <w:trHeight w:val="191"/>
        </w:trPr>
        <w:tc>
          <w:tcPr>
            <w:tcW w:w="5420" w:type="dxa"/>
            <w:vAlign w:val="bottom"/>
          </w:tcPr>
          <w:p>
            <w:pPr>
              <w:spacing w:after="0"/>
              <w:rPr>
                <w:sz w:val="16"/>
                <w:szCs w:val="16"/>
                <w:color w:val="auto"/>
              </w:rPr>
            </w:pPr>
          </w:p>
        </w:tc>
        <w:tc>
          <w:tcPr>
            <w:tcW w:w="5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Farouq Tuweiq</w:t>
            </w:r>
          </w:p>
        </w:tc>
      </w:tr>
      <w:tr>
        <w:trPr>
          <w:trHeight w:val="214"/>
        </w:trPr>
        <w:tc>
          <w:tcPr>
            <w:tcW w:w="54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54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Bel Fuse Inc. (the “Company”) on Form 10-Q for the quarter ended September 30, 2025 filed with the Securities and Exchange Commission (the “Report”), I, Lynn Hutkin, Chief Financial Officer (principal financial officer and principal accounting officer) and Treasurer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consolidated results of operations of the Company for the periods presented.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Hutkin</w:t>
            </w:r>
          </w:p>
        </w:tc>
      </w:tr>
      <w:tr>
        <w:trPr>
          <w:trHeight w:val="191"/>
        </w:trPr>
        <w:tc>
          <w:tcPr>
            <w:tcW w:w="540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Lynn Hutkin</w:t>
            </w:r>
          </w:p>
        </w:tc>
      </w:tr>
      <w:tr>
        <w:trPr>
          <w:trHeight w:val="214"/>
        </w:trPr>
        <w:tc>
          <w:tcPr>
            <w:tcW w:w="54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6"/>
        </w:trPr>
        <w:tc>
          <w:tcPr>
            <w:tcW w:w="54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6"/>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1."/>
      <w:numFmt w:val="decimal"/>
      <w:start w:val="14"/>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decimal"/>
      <w:start w:val="15"/>
    </w:lvl>
  </w:abstractNum>
  <w:abstractNum w:abstractNumId="20">
    <w:nsid w:val="4353D0CD"/>
    <w:multiLevelType w:val="hybridMultilevel"/>
    <w:lvl w:ilvl="0">
      <w:lvlJc w:val="left"/>
      <w:lvlText w:val="%1."/>
      <w:numFmt w:val="decimal"/>
      <w:start w:val="16"/>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lvl w:ilvl="1">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lvl w:ilvl="1">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2025-11-04T11:44:49Z</dcterms:created>
  <dcterms:modified xsi:type="dcterms:W3CDTF">2025-11-04T11:44:49Z</dcterms:modified>
</cp:coreProperties>
</file>